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8A8D" w14:textId="4B8623A8" w:rsidR="00E647D1" w:rsidRPr="00681B64" w:rsidRDefault="00E647D1" w:rsidP="00245D45">
      <w:pPr>
        <w:pBdr>
          <w:top w:val="single" w:sz="24" w:space="1"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uppressAutoHyphens/>
        <w:spacing w:after="0" w:line="100" w:lineRule="atLeast"/>
        <w:jc w:val="center"/>
        <w:rPr>
          <w:rFonts w:cs="Arial"/>
          <w:b/>
          <w:sz w:val="24"/>
          <w:szCs w:val="24"/>
        </w:rPr>
      </w:pPr>
      <w:r w:rsidRPr="00681B64">
        <w:rPr>
          <w:rFonts w:cs="Arial"/>
          <w:b/>
          <w:sz w:val="24"/>
          <w:szCs w:val="24"/>
        </w:rPr>
        <w:t xml:space="preserve">Comment compléter le </w:t>
      </w:r>
      <w:r w:rsidR="004F6EBD">
        <w:rPr>
          <w:rFonts w:cs="Arial"/>
          <w:b/>
          <w:sz w:val="24"/>
          <w:szCs w:val="24"/>
        </w:rPr>
        <w:t>projet</w:t>
      </w:r>
      <w:r w:rsidRPr="00681B64">
        <w:rPr>
          <w:rFonts w:cs="Arial"/>
          <w:b/>
          <w:sz w:val="24"/>
          <w:szCs w:val="24"/>
        </w:rPr>
        <w:t xml:space="preserve"> de délibération :</w:t>
      </w:r>
    </w:p>
    <w:p w14:paraId="1E2711E6" w14:textId="77777777" w:rsidR="00E647D1" w:rsidRPr="00681B64" w:rsidRDefault="00E647D1" w:rsidP="005D69CB">
      <w:pPr>
        <w:pBdr>
          <w:top w:val="single" w:sz="24" w:space="1"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uppressAutoHyphens/>
        <w:spacing w:after="0" w:line="100" w:lineRule="atLeast"/>
        <w:jc w:val="both"/>
        <w:rPr>
          <w:rFonts w:cs="Arial"/>
          <w:sz w:val="22"/>
          <w:szCs w:val="24"/>
        </w:rPr>
      </w:pPr>
    </w:p>
    <w:p w14:paraId="5BE673C1" w14:textId="77777777" w:rsidR="00E647D1" w:rsidRPr="00681B64" w:rsidRDefault="00E647D1" w:rsidP="00612FEA">
      <w:pPr>
        <w:pBdr>
          <w:top w:val="single" w:sz="24" w:space="1"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uppressAutoHyphens/>
        <w:spacing w:after="120" w:line="100" w:lineRule="atLeast"/>
        <w:rPr>
          <w:rFonts w:cs="Arial"/>
          <w:sz w:val="22"/>
          <w:szCs w:val="24"/>
        </w:rPr>
      </w:pPr>
      <w:r w:rsidRPr="00681B64">
        <w:rPr>
          <w:rFonts w:cs="Arial"/>
          <w:color w:val="2E74B5" w:themeColor="accent1" w:themeShade="BF"/>
          <w:sz w:val="22"/>
          <w:szCs w:val="24"/>
        </w:rPr>
        <w:t xml:space="preserve">Les éléments en bleu </w:t>
      </w:r>
      <w:r w:rsidRPr="00681B64">
        <w:rPr>
          <w:rFonts w:cs="Arial"/>
          <w:sz w:val="22"/>
          <w:szCs w:val="24"/>
        </w:rPr>
        <w:t xml:space="preserve">ne doivent être conservés </w:t>
      </w:r>
      <w:r w:rsidR="00681B64" w:rsidRPr="00681B64">
        <w:rPr>
          <w:rFonts w:cs="Arial"/>
          <w:sz w:val="22"/>
          <w:szCs w:val="24"/>
        </w:rPr>
        <w:t xml:space="preserve">dans la délibération </w:t>
      </w:r>
      <w:r w:rsidRPr="00681B64">
        <w:rPr>
          <w:rFonts w:cs="Arial"/>
          <w:sz w:val="22"/>
          <w:szCs w:val="24"/>
        </w:rPr>
        <w:t>que si la collectivité</w:t>
      </w:r>
      <w:r w:rsidR="00681B64" w:rsidRPr="00681B64">
        <w:rPr>
          <w:rFonts w:cs="Arial"/>
          <w:sz w:val="22"/>
          <w:szCs w:val="24"/>
        </w:rPr>
        <w:t xml:space="preserve"> est concernée</w:t>
      </w:r>
      <w:r w:rsidR="00F25133">
        <w:rPr>
          <w:rFonts w:cs="Arial"/>
          <w:sz w:val="22"/>
          <w:szCs w:val="24"/>
        </w:rPr>
        <w:t>.</w:t>
      </w:r>
    </w:p>
    <w:p w14:paraId="2E44ABC2" w14:textId="3063158B" w:rsidR="00F25133" w:rsidRDefault="00E647D1" w:rsidP="003D4190">
      <w:pPr>
        <w:pBdr>
          <w:top w:val="single" w:sz="24" w:space="1"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uppressAutoHyphens/>
        <w:spacing w:after="120" w:line="100" w:lineRule="atLeast"/>
        <w:rPr>
          <w:rStyle w:val="Lienhypertexte"/>
          <w:rFonts w:cs="Arial"/>
          <w:sz w:val="22"/>
          <w:szCs w:val="24"/>
        </w:rPr>
      </w:pPr>
      <w:r w:rsidRPr="00681B64">
        <w:rPr>
          <w:rFonts w:cs="Arial"/>
          <w:color w:val="C45911" w:themeColor="accent2" w:themeShade="BF"/>
          <w:sz w:val="22"/>
          <w:szCs w:val="24"/>
        </w:rPr>
        <w:t>Les éléments en orange</w:t>
      </w:r>
      <w:r w:rsidRPr="00681B64">
        <w:rPr>
          <w:rFonts w:cs="Arial"/>
          <w:sz w:val="22"/>
          <w:szCs w:val="24"/>
        </w:rPr>
        <w:t xml:space="preserve"> </w:t>
      </w:r>
      <w:r w:rsidR="00681B64" w:rsidRPr="00681B64">
        <w:rPr>
          <w:rFonts w:cs="Arial"/>
          <w:sz w:val="22"/>
          <w:szCs w:val="24"/>
        </w:rPr>
        <w:t>visent à expliciter les différents contenus, et doivent être supprimés de la délibération finale</w:t>
      </w:r>
      <w:r w:rsidR="00F25133">
        <w:rPr>
          <w:rFonts w:cs="Arial"/>
          <w:sz w:val="22"/>
          <w:szCs w:val="24"/>
        </w:rPr>
        <w:t>.</w:t>
      </w:r>
    </w:p>
    <w:p w14:paraId="447CE4B5" w14:textId="77777777" w:rsidR="0028765A" w:rsidRPr="0028765A" w:rsidRDefault="0028765A" w:rsidP="0028765A">
      <w:pPr>
        <w:rPr>
          <w:sz w:val="22"/>
        </w:rPr>
      </w:pPr>
    </w:p>
    <w:p w14:paraId="41A7CB9C" w14:textId="051257D2" w:rsidR="007052C5" w:rsidRPr="00332FE8" w:rsidRDefault="00F51D37" w:rsidP="005D69CB">
      <w:pPr>
        <w:pStyle w:val="Citationintense"/>
        <w:pBdr>
          <w:top w:val="none" w:sz="0" w:space="0" w:color="auto"/>
          <w:bottom w:val="none" w:sz="0" w:space="0" w:color="auto"/>
        </w:pBdr>
        <w:spacing w:before="0" w:after="0"/>
        <w:ind w:left="0" w:right="0"/>
        <w:rPr>
          <w:rFonts w:cs="Arial"/>
          <w:b/>
          <w:i w:val="0"/>
          <w:color w:val="auto"/>
          <w:sz w:val="24"/>
        </w:rPr>
      </w:pPr>
      <w:r>
        <w:rPr>
          <w:rFonts w:cs="Arial"/>
          <w:b/>
          <w:i w:val="0"/>
          <w:color w:val="auto"/>
          <w:sz w:val="24"/>
        </w:rPr>
        <w:t>MODÈ</w:t>
      </w:r>
      <w:r w:rsidR="00FB743D">
        <w:rPr>
          <w:rFonts w:cs="Arial"/>
          <w:b/>
          <w:i w:val="0"/>
          <w:color w:val="auto"/>
          <w:sz w:val="24"/>
        </w:rPr>
        <w:t xml:space="preserve">LE </w:t>
      </w:r>
      <w:r>
        <w:rPr>
          <w:rFonts w:cs="Arial"/>
          <w:b/>
          <w:i w:val="0"/>
          <w:color w:val="auto"/>
          <w:sz w:val="24"/>
        </w:rPr>
        <w:t>DE DÉLIBÉ</w:t>
      </w:r>
      <w:r w:rsidR="007052C5" w:rsidRPr="00332FE8">
        <w:rPr>
          <w:rFonts w:cs="Arial"/>
          <w:b/>
          <w:i w:val="0"/>
          <w:color w:val="auto"/>
          <w:sz w:val="24"/>
        </w:rPr>
        <w:t xml:space="preserve">RATION RELATIVE </w:t>
      </w:r>
      <w:r w:rsidR="00332FE8" w:rsidRPr="00332FE8">
        <w:rPr>
          <w:rFonts w:cs="Arial"/>
          <w:b/>
          <w:i w:val="0"/>
          <w:color w:val="auto"/>
          <w:sz w:val="24"/>
        </w:rPr>
        <w:t>À</w:t>
      </w:r>
      <w:r w:rsidR="007052C5" w:rsidRPr="00332FE8">
        <w:rPr>
          <w:rFonts w:cs="Arial"/>
          <w:b/>
          <w:i w:val="0"/>
          <w:color w:val="auto"/>
          <w:sz w:val="24"/>
        </w:rPr>
        <w:t xml:space="preserve"> LA MISE EN PLACE </w:t>
      </w:r>
      <w:r w:rsidR="00FE4F71">
        <w:rPr>
          <w:rFonts w:cs="Arial"/>
          <w:b/>
          <w:i w:val="0"/>
          <w:color w:val="auto"/>
          <w:sz w:val="24"/>
        </w:rPr>
        <w:t xml:space="preserve">DE LA PRIME DE POUVOIR D’ACHAT EXCEPTIONNELLE </w:t>
      </w:r>
    </w:p>
    <w:p w14:paraId="3BE1987C" w14:textId="77777777" w:rsidR="007052C5" w:rsidRPr="0028765A" w:rsidRDefault="007052C5" w:rsidP="005D69CB">
      <w:pPr>
        <w:pStyle w:val="Corpsdetexte"/>
        <w:spacing w:before="69" w:line="244" w:lineRule="auto"/>
        <w:ind w:left="0"/>
        <w:jc w:val="both"/>
        <w:rPr>
          <w:rFonts w:ascii="Arial" w:hAnsi="Arial" w:cs="Arial"/>
          <w:sz w:val="20"/>
          <w:szCs w:val="20"/>
          <w:lang w:val="fr-FR"/>
        </w:rPr>
      </w:pPr>
    </w:p>
    <w:p w14:paraId="158274F4" w14:textId="07320796" w:rsidR="00F51D37" w:rsidRPr="000D035C" w:rsidRDefault="00F51D37" w:rsidP="000D035C">
      <w:pPr>
        <w:pStyle w:val="Default"/>
        <w:spacing w:after="7"/>
        <w:jc w:val="both"/>
        <w:rPr>
          <w:rFonts w:ascii="Arial" w:hAnsi="Arial" w:cs="Arial"/>
          <w:color w:val="auto"/>
          <w:sz w:val="22"/>
          <w:szCs w:val="22"/>
        </w:rPr>
      </w:pPr>
      <w:r w:rsidRPr="000D035C">
        <w:rPr>
          <w:rFonts w:ascii="Arial" w:hAnsi="Arial" w:cs="Arial"/>
          <w:color w:val="auto"/>
          <w:sz w:val="22"/>
          <w:szCs w:val="22"/>
        </w:rPr>
        <w:t xml:space="preserve">Vu le code général de la fonction publique et, notamment, les articles </w:t>
      </w:r>
      <w:r w:rsidR="00F04447" w:rsidRPr="000D035C">
        <w:rPr>
          <w:rFonts w:ascii="Arial" w:hAnsi="Arial" w:cs="Arial"/>
          <w:color w:val="auto"/>
          <w:sz w:val="22"/>
          <w:szCs w:val="22"/>
        </w:rPr>
        <w:t xml:space="preserve">L.4, </w:t>
      </w:r>
      <w:r w:rsidRPr="000D035C">
        <w:rPr>
          <w:rFonts w:ascii="Arial" w:hAnsi="Arial" w:cs="Arial"/>
          <w:color w:val="auto"/>
          <w:sz w:val="22"/>
          <w:szCs w:val="22"/>
        </w:rPr>
        <w:t>L.712-1, L.71</w:t>
      </w:r>
      <w:r w:rsidR="00FE4F71" w:rsidRPr="000D035C">
        <w:rPr>
          <w:rFonts w:ascii="Arial" w:hAnsi="Arial" w:cs="Arial"/>
          <w:color w:val="auto"/>
          <w:sz w:val="22"/>
          <w:szCs w:val="22"/>
        </w:rPr>
        <w:t>2-13</w:t>
      </w:r>
      <w:r w:rsidR="00906895" w:rsidRPr="000D035C">
        <w:rPr>
          <w:rFonts w:ascii="Arial" w:hAnsi="Arial" w:cs="Arial"/>
          <w:color w:val="auto"/>
          <w:sz w:val="22"/>
          <w:szCs w:val="22"/>
        </w:rPr>
        <w:t>,</w:t>
      </w:r>
      <w:r w:rsidR="00260DEA" w:rsidRPr="000D035C">
        <w:rPr>
          <w:rFonts w:ascii="Arial" w:hAnsi="Arial" w:cs="Arial"/>
          <w:color w:val="auto"/>
          <w:sz w:val="22"/>
          <w:szCs w:val="22"/>
        </w:rPr>
        <w:t xml:space="preserve"> </w:t>
      </w:r>
      <w:r w:rsidR="00FE4F71" w:rsidRPr="000D035C">
        <w:rPr>
          <w:rFonts w:ascii="Arial" w:hAnsi="Arial" w:cs="Arial"/>
          <w:color w:val="auto"/>
          <w:sz w:val="22"/>
          <w:szCs w:val="22"/>
        </w:rPr>
        <w:t>L.713-2</w:t>
      </w:r>
      <w:r w:rsidR="00906895" w:rsidRPr="000D035C">
        <w:rPr>
          <w:rFonts w:ascii="Arial" w:hAnsi="Arial" w:cs="Arial"/>
          <w:color w:val="auto"/>
          <w:sz w:val="22"/>
          <w:szCs w:val="22"/>
        </w:rPr>
        <w:t xml:space="preserve"> et L.714-4</w:t>
      </w:r>
      <w:r w:rsidR="00FE4F71" w:rsidRPr="000D035C">
        <w:rPr>
          <w:rFonts w:ascii="Arial" w:hAnsi="Arial" w:cs="Arial"/>
          <w:color w:val="auto"/>
          <w:sz w:val="22"/>
          <w:szCs w:val="22"/>
        </w:rPr>
        <w:t> ;</w:t>
      </w:r>
      <w:r w:rsidRPr="000D035C">
        <w:rPr>
          <w:rFonts w:ascii="Arial" w:hAnsi="Arial" w:cs="Arial"/>
          <w:color w:val="auto"/>
          <w:sz w:val="22"/>
          <w:szCs w:val="22"/>
        </w:rPr>
        <w:t xml:space="preserve"> </w:t>
      </w:r>
    </w:p>
    <w:p w14:paraId="6C80EF2D" w14:textId="77777777" w:rsidR="00F51D37" w:rsidRPr="000D035C" w:rsidRDefault="00F51D37" w:rsidP="000D035C">
      <w:pPr>
        <w:pStyle w:val="Default"/>
        <w:spacing w:after="7"/>
        <w:jc w:val="both"/>
        <w:rPr>
          <w:rFonts w:ascii="Arial" w:hAnsi="Arial" w:cs="Arial"/>
          <w:color w:val="auto"/>
          <w:sz w:val="22"/>
          <w:szCs w:val="22"/>
        </w:rPr>
      </w:pPr>
    </w:p>
    <w:p w14:paraId="48CD78C0" w14:textId="137DF18F" w:rsidR="00F51D37" w:rsidRPr="000D035C" w:rsidRDefault="00F04447" w:rsidP="000D035C">
      <w:pPr>
        <w:pStyle w:val="Default"/>
        <w:spacing w:after="7"/>
        <w:jc w:val="both"/>
        <w:rPr>
          <w:rFonts w:ascii="Arial" w:hAnsi="Arial" w:cs="Arial"/>
          <w:color w:val="auto"/>
          <w:sz w:val="22"/>
          <w:szCs w:val="22"/>
        </w:rPr>
      </w:pPr>
      <w:r w:rsidRPr="000D035C">
        <w:rPr>
          <w:rFonts w:ascii="Arial" w:hAnsi="Arial" w:cs="Arial"/>
          <w:color w:val="auto"/>
          <w:sz w:val="22"/>
          <w:szCs w:val="22"/>
        </w:rPr>
        <w:t>Vu le décret n°2023-1006 du 31 octobre 2023 portant création d’une prime de pouvoir d’achat exceptionnelle pour certains agents</w:t>
      </w:r>
      <w:r w:rsidR="00F51D37" w:rsidRPr="000D035C">
        <w:rPr>
          <w:rFonts w:ascii="Arial" w:hAnsi="Arial" w:cs="Arial"/>
          <w:color w:val="auto"/>
          <w:sz w:val="22"/>
          <w:szCs w:val="22"/>
        </w:rPr>
        <w:t xml:space="preserve">, </w:t>
      </w:r>
    </w:p>
    <w:p w14:paraId="5D5DA49C" w14:textId="77777777" w:rsidR="00F51D37" w:rsidRPr="000D035C" w:rsidRDefault="00F51D37" w:rsidP="000D035C">
      <w:pPr>
        <w:pStyle w:val="Default"/>
        <w:spacing w:after="7"/>
        <w:jc w:val="both"/>
        <w:rPr>
          <w:rFonts w:ascii="Arial" w:hAnsi="Arial" w:cs="Arial"/>
          <w:color w:val="auto"/>
          <w:sz w:val="22"/>
          <w:szCs w:val="22"/>
        </w:rPr>
      </w:pPr>
    </w:p>
    <w:p w14:paraId="35FB051D" w14:textId="317B627B" w:rsidR="00F51D37" w:rsidRPr="000D035C" w:rsidRDefault="00F51D37" w:rsidP="000D035C">
      <w:pPr>
        <w:pStyle w:val="Pa10"/>
        <w:spacing w:before="20" w:after="20"/>
        <w:jc w:val="both"/>
        <w:rPr>
          <w:rFonts w:ascii="Arial" w:hAnsi="Arial" w:cs="Arial"/>
          <w:sz w:val="22"/>
          <w:szCs w:val="22"/>
        </w:rPr>
      </w:pPr>
      <w:r w:rsidRPr="000D035C">
        <w:rPr>
          <w:rFonts w:ascii="Arial" w:hAnsi="Arial" w:cs="Arial"/>
          <w:sz w:val="22"/>
          <w:szCs w:val="22"/>
        </w:rPr>
        <w:t xml:space="preserve">Vu l’avis du comité </w:t>
      </w:r>
      <w:r w:rsidR="00FE4F71" w:rsidRPr="000D035C">
        <w:rPr>
          <w:rFonts w:ascii="Arial" w:hAnsi="Arial" w:cs="Arial"/>
          <w:sz w:val="22"/>
          <w:szCs w:val="22"/>
        </w:rPr>
        <w:t>social territorial</w:t>
      </w:r>
      <w:r w:rsidRPr="000D035C">
        <w:rPr>
          <w:rFonts w:ascii="Arial" w:hAnsi="Arial" w:cs="Arial"/>
          <w:sz w:val="22"/>
          <w:szCs w:val="22"/>
        </w:rPr>
        <w:t xml:space="preserve"> en date du…………… </w:t>
      </w:r>
    </w:p>
    <w:p w14:paraId="2BC074B9" w14:textId="77777777" w:rsidR="00FE4F71" w:rsidRPr="000D035C" w:rsidRDefault="00FE4F71" w:rsidP="000D035C">
      <w:pPr>
        <w:pStyle w:val="Default"/>
        <w:jc w:val="both"/>
        <w:rPr>
          <w:color w:val="auto"/>
        </w:rPr>
      </w:pPr>
    </w:p>
    <w:p w14:paraId="1096A4C1" w14:textId="61A8AE46" w:rsidR="00F51D37" w:rsidRPr="000D035C" w:rsidRDefault="00F51D37" w:rsidP="000D035C">
      <w:pPr>
        <w:pStyle w:val="Pa10"/>
        <w:spacing w:before="20" w:after="20"/>
        <w:jc w:val="both"/>
        <w:rPr>
          <w:rFonts w:ascii="Arial" w:hAnsi="Arial" w:cs="Arial"/>
          <w:sz w:val="22"/>
          <w:szCs w:val="22"/>
        </w:rPr>
      </w:pPr>
      <w:r w:rsidRPr="000D035C">
        <w:rPr>
          <w:rFonts w:ascii="Arial" w:hAnsi="Arial" w:cs="Arial"/>
          <w:sz w:val="22"/>
          <w:szCs w:val="22"/>
        </w:rPr>
        <w:t xml:space="preserve">L’autorité territoriale propose à l’assemblée délibérante d’instaurer </w:t>
      </w:r>
      <w:r w:rsidR="00FE4F71" w:rsidRPr="000D035C">
        <w:rPr>
          <w:rFonts w:ascii="Arial" w:hAnsi="Arial" w:cs="Arial"/>
          <w:sz w:val="22"/>
          <w:szCs w:val="22"/>
        </w:rPr>
        <w:t>la prime de pouvoir d’achat forfaitaire exceptionnelle</w:t>
      </w:r>
      <w:r w:rsidR="00F04447" w:rsidRPr="000D035C">
        <w:rPr>
          <w:rFonts w:ascii="Arial" w:hAnsi="Arial" w:cs="Arial"/>
          <w:sz w:val="22"/>
          <w:szCs w:val="22"/>
        </w:rPr>
        <w:t>,</w:t>
      </w:r>
    </w:p>
    <w:p w14:paraId="2A2547B9" w14:textId="319C74FE" w:rsidR="0037070F" w:rsidRDefault="007052C5" w:rsidP="0035389B">
      <w:pPr>
        <w:pStyle w:val="Titre1"/>
      </w:pPr>
      <w:r w:rsidRPr="00332FE8">
        <w:t>L</w:t>
      </w:r>
      <w:r w:rsidR="0035389B">
        <w:t>es bénéficiaires</w:t>
      </w:r>
    </w:p>
    <w:p w14:paraId="78986421" w14:textId="77777777" w:rsidR="00FC7D02" w:rsidRDefault="00D57C7D" w:rsidP="000D035C">
      <w:pPr>
        <w:spacing w:after="0"/>
        <w:jc w:val="both"/>
        <w:rPr>
          <w:rFonts w:cs="Arial"/>
          <w:sz w:val="22"/>
        </w:rPr>
      </w:pPr>
      <w:r w:rsidRPr="003D4190">
        <w:rPr>
          <w:rFonts w:cs="Arial"/>
          <w:sz w:val="22"/>
        </w:rPr>
        <w:t>Les bénéficiaires de la prime de pouvoir d’achat exceptionnelle forfaitaire sont les agents publics (fonctionnaires titulaires et stagiaires, agents contractuels de droit public) ainsi que les assistants maternels et les assistants familiaux.</w:t>
      </w:r>
    </w:p>
    <w:p w14:paraId="15C3FDA7" w14:textId="77777777" w:rsidR="0093631A" w:rsidRDefault="0093631A" w:rsidP="000D035C">
      <w:pPr>
        <w:spacing w:after="0"/>
        <w:jc w:val="both"/>
        <w:rPr>
          <w:rFonts w:cs="Arial"/>
          <w:sz w:val="22"/>
        </w:rPr>
      </w:pPr>
    </w:p>
    <w:p w14:paraId="1D32F26F" w14:textId="4AA51925" w:rsidR="0093631A" w:rsidRPr="0093631A" w:rsidRDefault="0093631A" w:rsidP="000D035C">
      <w:pPr>
        <w:spacing w:after="0"/>
        <w:jc w:val="both"/>
        <w:rPr>
          <w:rFonts w:cs="Arial"/>
          <w:sz w:val="22"/>
        </w:rPr>
      </w:pPr>
      <w:r>
        <w:rPr>
          <w:rFonts w:cs="Arial"/>
          <w:sz w:val="22"/>
        </w:rPr>
        <w:t>Les employeurs pouvant mettre en place cette prime sont les collectivités et les établissements</w:t>
      </w:r>
      <w:r w:rsidR="00642025">
        <w:rPr>
          <w:rFonts w:cs="Arial"/>
          <w:sz w:val="22"/>
        </w:rPr>
        <w:t xml:space="preserve"> </w:t>
      </w:r>
      <w:r w:rsidRPr="0093631A">
        <w:rPr>
          <w:rFonts w:cs="Arial"/>
          <w:sz w:val="22"/>
        </w:rPr>
        <w:t>mentionnés à l'</w:t>
      </w:r>
      <w:hyperlink r:id="rId8" w:tooltip="Code général de la fonction publique - art. L4 (V)" w:history="1">
        <w:r w:rsidRPr="000D035C">
          <w:rPr>
            <w:rStyle w:val="Lienhypertexte"/>
            <w:rFonts w:cs="Arial"/>
            <w:color w:val="auto"/>
            <w:sz w:val="22"/>
            <w:u w:val="none"/>
          </w:rPr>
          <w:t>article L. 4 du code général de la fonction publique</w:t>
        </w:r>
      </w:hyperlink>
      <w:r w:rsidRPr="0093631A">
        <w:rPr>
          <w:rFonts w:cs="Arial"/>
          <w:sz w:val="22"/>
        </w:rPr>
        <w:t> et les groupements d'intérêt public, à l'exception de ceux de l'État et relevant de l'article L. 5 du même code</w:t>
      </w:r>
      <w:r>
        <w:rPr>
          <w:rFonts w:cs="Arial"/>
          <w:sz w:val="22"/>
        </w:rPr>
        <w:t>.</w:t>
      </w:r>
    </w:p>
    <w:p w14:paraId="733D4C49" w14:textId="09463E1A" w:rsidR="0037070F" w:rsidRPr="003D4190" w:rsidRDefault="0037070F" w:rsidP="000D035C">
      <w:pPr>
        <w:spacing w:after="0"/>
        <w:jc w:val="both"/>
        <w:rPr>
          <w:rFonts w:cs="Arial"/>
          <w:sz w:val="22"/>
        </w:rPr>
      </w:pPr>
    </w:p>
    <w:p w14:paraId="3EFC2674" w14:textId="77777777" w:rsidR="006532AC" w:rsidRPr="003D4190" w:rsidRDefault="006532AC" w:rsidP="000D035C">
      <w:pPr>
        <w:spacing w:after="0"/>
        <w:jc w:val="both"/>
        <w:rPr>
          <w:rFonts w:cs="Arial"/>
          <w:sz w:val="22"/>
        </w:rPr>
      </w:pPr>
      <w:r w:rsidRPr="003D4190">
        <w:rPr>
          <w:rFonts w:cs="Arial"/>
          <w:sz w:val="22"/>
        </w:rPr>
        <w:t xml:space="preserve">Les agents, pour percevoir cette prime, doivent : </w:t>
      </w:r>
    </w:p>
    <w:p w14:paraId="66C92583" w14:textId="77777777" w:rsidR="00FC7D02" w:rsidRPr="003D4190" w:rsidRDefault="00FC7D02" w:rsidP="000D035C">
      <w:pPr>
        <w:spacing w:after="0"/>
        <w:jc w:val="both"/>
        <w:rPr>
          <w:rFonts w:cs="Arial"/>
          <w:sz w:val="22"/>
        </w:rPr>
      </w:pPr>
    </w:p>
    <w:p w14:paraId="36444F04" w14:textId="755B0AAF" w:rsidR="006532AC" w:rsidRPr="003D4190" w:rsidRDefault="006532AC" w:rsidP="000D035C">
      <w:pPr>
        <w:pStyle w:val="Paragraphedeliste"/>
        <w:numPr>
          <w:ilvl w:val="0"/>
          <w:numId w:val="22"/>
        </w:numPr>
        <w:spacing w:after="0"/>
        <w:jc w:val="both"/>
        <w:rPr>
          <w:rFonts w:cs="Arial"/>
          <w:sz w:val="22"/>
        </w:rPr>
      </w:pPr>
      <w:r w:rsidRPr="003D4190">
        <w:rPr>
          <w:rFonts w:cs="Arial"/>
          <w:sz w:val="22"/>
        </w:rPr>
        <w:t xml:space="preserve">avoir été nommés ou recrutés par une collectivité territoriale ou </w:t>
      </w:r>
      <w:r w:rsidR="0093631A">
        <w:rPr>
          <w:rFonts w:cs="Arial"/>
          <w:sz w:val="22"/>
        </w:rPr>
        <w:t>un établissement public</w:t>
      </w:r>
      <w:r w:rsidRPr="003D4190">
        <w:rPr>
          <w:rFonts w:cs="Arial"/>
          <w:sz w:val="22"/>
        </w:rPr>
        <w:t xml:space="preserve"> </w:t>
      </w:r>
      <w:r w:rsidR="000D035C">
        <w:rPr>
          <w:rFonts w:cs="Arial"/>
          <w:sz w:val="22"/>
        </w:rPr>
        <w:t xml:space="preserve">ou un groupement d’intérêt public </w:t>
      </w:r>
      <w:r w:rsidRPr="003D4190">
        <w:rPr>
          <w:rFonts w:cs="Arial"/>
          <w:sz w:val="22"/>
        </w:rPr>
        <w:t>avant le 1</w:t>
      </w:r>
      <w:r w:rsidRPr="003D4190">
        <w:rPr>
          <w:rFonts w:cs="Arial"/>
          <w:sz w:val="22"/>
          <w:vertAlign w:val="superscript"/>
        </w:rPr>
        <w:t>er</w:t>
      </w:r>
      <w:r w:rsidRPr="003D4190">
        <w:rPr>
          <w:rFonts w:cs="Arial"/>
          <w:sz w:val="22"/>
        </w:rPr>
        <w:t xml:space="preserve"> janvier 2023</w:t>
      </w:r>
      <w:r w:rsidR="00FC7D02" w:rsidRPr="003D4190">
        <w:rPr>
          <w:rFonts w:cs="Arial"/>
          <w:sz w:val="22"/>
        </w:rPr>
        <w:t> ;</w:t>
      </w:r>
    </w:p>
    <w:p w14:paraId="249CD000" w14:textId="16F5320E" w:rsidR="006532AC" w:rsidRPr="003D4190" w:rsidRDefault="00260DEA" w:rsidP="000D035C">
      <w:pPr>
        <w:pStyle w:val="Paragraphedeliste"/>
        <w:numPr>
          <w:ilvl w:val="0"/>
          <w:numId w:val="22"/>
        </w:numPr>
        <w:spacing w:after="0"/>
        <w:jc w:val="both"/>
        <w:rPr>
          <w:rFonts w:cs="Arial"/>
          <w:sz w:val="22"/>
        </w:rPr>
      </w:pPr>
      <w:r w:rsidRPr="003D4190">
        <w:rPr>
          <w:rFonts w:cs="Arial"/>
          <w:sz w:val="22"/>
        </w:rPr>
        <w:t>Être</w:t>
      </w:r>
      <w:r w:rsidR="00FC7D02" w:rsidRPr="003D4190">
        <w:rPr>
          <w:rFonts w:cs="Arial"/>
          <w:sz w:val="22"/>
        </w:rPr>
        <w:t xml:space="preserve"> employés et</w:t>
      </w:r>
      <w:r w:rsidR="006532AC" w:rsidRPr="003D4190">
        <w:rPr>
          <w:rFonts w:cs="Arial"/>
          <w:sz w:val="22"/>
        </w:rPr>
        <w:t xml:space="preserve"> rémunérés par une collectivité territoriale ou </w:t>
      </w:r>
      <w:r w:rsidR="0093631A">
        <w:rPr>
          <w:rFonts w:cs="Arial"/>
          <w:sz w:val="22"/>
        </w:rPr>
        <w:t xml:space="preserve">un établissement public </w:t>
      </w:r>
      <w:r w:rsidR="000D035C">
        <w:rPr>
          <w:rFonts w:cs="Arial"/>
          <w:sz w:val="22"/>
        </w:rPr>
        <w:t xml:space="preserve">ou un groupement d’intérêt public </w:t>
      </w:r>
      <w:r w:rsidR="006532AC" w:rsidRPr="003D4190">
        <w:rPr>
          <w:rFonts w:cs="Arial"/>
          <w:sz w:val="22"/>
        </w:rPr>
        <w:t xml:space="preserve">au 30 juin 2023 ; </w:t>
      </w:r>
    </w:p>
    <w:p w14:paraId="301FF9DB" w14:textId="23FA8C4D" w:rsidR="006532AC" w:rsidRPr="003D4190" w:rsidRDefault="006532AC" w:rsidP="000D035C">
      <w:pPr>
        <w:pStyle w:val="Paragraphedeliste"/>
        <w:numPr>
          <w:ilvl w:val="0"/>
          <w:numId w:val="22"/>
        </w:numPr>
        <w:spacing w:after="0"/>
        <w:jc w:val="both"/>
        <w:rPr>
          <w:rFonts w:cs="Arial"/>
          <w:sz w:val="22"/>
        </w:rPr>
      </w:pPr>
      <w:r w:rsidRPr="003D4190">
        <w:rPr>
          <w:rFonts w:cs="Arial"/>
          <w:sz w:val="22"/>
        </w:rPr>
        <w:t>avoir perçu une rémunération brute inférieure ou égale à 39 000 euros au titre de la période courant du 1</w:t>
      </w:r>
      <w:r w:rsidRPr="003D4190">
        <w:rPr>
          <w:rFonts w:cs="Arial"/>
          <w:sz w:val="22"/>
          <w:vertAlign w:val="superscript"/>
        </w:rPr>
        <w:t>er</w:t>
      </w:r>
      <w:r w:rsidRPr="003D4190">
        <w:rPr>
          <w:rFonts w:cs="Arial"/>
          <w:sz w:val="22"/>
        </w:rPr>
        <w:t xml:space="preserve"> juillet 2022 au 30 juin 2023, de laquelle viennent en déduction la GIPA et les éléments de rémunération mentionnés à l’article 1</w:t>
      </w:r>
      <w:r w:rsidRPr="003D4190">
        <w:rPr>
          <w:rFonts w:cs="Arial"/>
          <w:sz w:val="22"/>
          <w:vertAlign w:val="superscript"/>
        </w:rPr>
        <w:t>er</w:t>
      </w:r>
      <w:r w:rsidRPr="003D4190">
        <w:rPr>
          <w:rFonts w:cs="Arial"/>
          <w:sz w:val="22"/>
        </w:rPr>
        <w:t xml:space="preserve"> du décret n°2019-133 dans la limite du plafond prévu à l’article 81 quater du code général des impôts.</w:t>
      </w:r>
    </w:p>
    <w:p w14:paraId="5A40F7EF" w14:textId="77777777" w:rsidR="0035389B" w:rsidRPr="003D4190" w:rsidRDefault="0035389B" w:rsidP="000D035C">
      <w:pPr>
        <w:spacing w:after="0"/>
        <w:jc w:val="both"/>
        <w:rPr>
          <w:rFonts w:cs="Arial"/>
          <w:sz w:val="22"/>
        </w:rPr>
      </w:pPr>
    </w:p>
    <w:p w14:paraId="0974667E" w14:textId="178EF003" w:rsidR="0035389B" w:rsidRPr="003D4190" w:rsidRDefault="00F04447" w:rsidP="000D035C">
      <w:pPr>
        <w:spacing w:after="0"/>
        <w:jc w:val="both"/>
        <w:rPr>
          <w:rFonts w:cs="Arial"/>
          <w:sz w:val="22"/>
        </w:rPr>
      </w:pPr>
      <w:r w:rsidRPr="003D4190">
        <w:rPr>
          <w:rFonts w:cs="Arial"/>
          <w:sz w:val="22"/>
        </w:rPr>
        <w:t xml:space="preserve">Sont expressément exclus du bénéfice de cette prime : </w:t>
      </w:r>
    </w:p>
    <w:p w14:paraId="2A30C31F" w14:textId="77777777" w:rsidR="00FC7D02" w:rsidRPr="003D4190" w:rsidRDefault="00FC7D02" w:rsidP="000D035C">
      <w:pPr>
        <w:spacing w:after="0"/>
        <w:jc w:val="both"/>
        <w:rPr>
          <w:rFonts w:cs="Arial"/>
          <w:sz w:val="22"/>
        </w:rPr>
      </w:pPr>
    </w:p>
    <w:p w14:paraId="29ED8187" w14:textId="5C036E62" w:rsidR="00F04447" w:rsidRPr="003D4190" w:rsidRDefault="00F04447" w:rsidP="000D035C">
      <w:pPr>
        <w:pStyle w:val="Paragraphedeliste"/>
        <w:numPr>
          <w:ilvl w:val="0"/>
          <w:numId w:val="22"/>
        </w:numPr>
        <w:spacing w:after="0"/>
        <w:jc w:val="both"/>
        <w:rPr>
          <w:rFonts w:cs="Arial"/>
          <w:sz w:val="22"/>
        </w:rPr>
      </w:pPr>
      <w:r w:rsidRPr="003D4190">
        <w:rPr>
          <w:rFonts w:cs="Arial"/>
          <w:sz w:val="22"/>
        </w:rPr>
        <w:t>Les agents publics éligibles à la prime prévue au I de l’article 1</w:t>
      </w:r>
      <w:r w:rsidRPr="003D4190">
        <w:rPr>
          <w:rFonts w:cs="Arial"/>
          <w:sz w:val="22"/>
          <w:vertAlign w:val="superscript"/>
        </w:rPr>
        <w:t>er</w:t>
      </w:r>
      <w:r w:rsidRPr="003D4190">
        <w:rPr>
          <w:rFonts w:cs="Arial"/>
          <w:sz w:val="22"/>
        </w:rPr>
        <w:t xml:space="preserve"> de la loi du 16 août 2022 </w:t>
      </w:r>
      <w:r w:rsidRPr="003D4190">
        <w:rPr>
          <w:rFonts w:cs="Arial"/>
          <w:i/>
          <w:color w:val="C45911" w:themeColor="accent2" w:themeShade="BF"/>
          <w:sz w:val="22"/>
        </w:rPr>
        <w:t>(prime « partage de la valeur »)</w:t>
      </w:r>
      <w:r w:rsidRPr="003D4190">
        <w:rPr>
          <w:rFonts w:cs="Arial"/>
          <w:sz w:val="22"/>
        </w:rPr>
        <w:t xml:space="preserve">, </w:t>
      </w:r>
    </w:p>
    <w:p w14:paraId="494AF770" w14:textId="113110DE" w:rsidR="00F53F03" w:rsidRDefault="00F04447" w:rsidP="000D035C">
      <w:pPr>
        <w:pStyle w:val="Paragraphedeliste"/>
        <w:numPr>
          <w:ilvl w:val="0"/>
          <w:numId w:val="22"/>
        </w:numPr>
        <w:spacing w:after="0"/>
        <w:jc w:val="both"/>
        <w:rPr>
          <w:rFonts w:cs="Arial"/>
          <w:sz w:val="22"/>
        </w:rPr>
      </w:pPr>
      <w:r w:rsidRPr="003D4190">
        <w:rPr>
          <w:rFonts w:cs="Arial"/>
          <w:sz w:val="22"/>
        </w:rPr>
        <w:t>Les élèves et étudiants en milieu professionnel ou en stage avec lesquels les employeurs publics sont liés par une convention de stage dans les conditions prévues au deuxième alinéa de l’article L.124-1 du code de l’éducation.</w:t>
      </w:r>
    </w:p>
    <w:p w14:paraId="684DF15B" w14:textId="76021952" w:rsidR="00F04447" w:rsidRPr="003D4190" w:rsidRDefault="00F53F03" w:rsidP="003D4190">
      <w:pPr>
        <w:spacing w:after="0" w:line="240" w:lineRule="auto"/>
        <w:rPr>
          <w:rFonts w:cs="Arial"/>
          <w:sz w:val="22"/>
        </w:rPr>
      </w:pPr>
      <w:r>
        <w:rPr>
          <w:rFonts w:cs="Arial"/>
          <w:sz w:val="22"/>
        </w:rPr>
        <w:br w:type="page"/>
      </w:r>
    </w:p>
    <w:p w14:paraId="518C9B02" w14:textId="08623E7B" w:rsidR="0035389B" w:rsidRDefault="0035389B" w:rsidP="0035389B">
      <w:pPr>
        <w:pStyle w:val="Titre1"/>
      </w:pPr>
      <w:r>
        <w:lastRenderedPageBreak/>
        <w:t>Les montants</w:t>
      </w:r>
    </w:p>
    <w:p w14:paraId="30E0F6F9" w14:textId="6AA22D42" w:rsidR="0035389B" w:rsidRPr="00906895" w:rsidRDefault="0035389B" w:rsidP="000D035C">
      <w:pPr>
        <w:jc w:val="both"/>
        <w:rPr>
          <w:sz w:val="22"/>
        </w:rPr>
      </w:pPr>
      <w:r w:rsidRPr="00906895">
        <w:rPr>
          <w:sz w:val="22"/>
        </w:rPr>
        <w:t xml:space="preserve">Considérant que les montants de la prime tels que fixés par le décret sont des montants plafonds, les montants applicables seront les suivants : </w:t>
      </w:r>
    </w:p>
    <w:tbl>
      <w:tblPr>
        <w:tblStyle w:val="Grilledutableau"/>
        <w:tblW w:w="0" w:type="auto"/>
        <w:tblLook w:val="04A0" w:firstRow="1" w:lastRow="0" w:firstColumn="1" w:lastColumn="0" w:noHBand="0" w:noVBand="1"/>
      </w:tblPr>
      <w:tblGrid>
        <w:gridCol w:w="3536"/>
        <w:gridCol w:w="3357"/>
        <w:gridCol w:w="2961"/>
      </w:tblGrid>
      <w:tr w:rsidR="00906895" w:rsidRPr="00F53F03" w14:paraId="15FC8A26" w14:textId="4D4BFD09" w:rsidTr="003D4190">
        <w:tc>
          <w:tcPr>
            <w:tcW w:w="3536" w:type="dxa"/>
          </w:tcPr>
          <w:p w14:paraId="251D1479" w14:textId="450AC50C" w:rsidR="00906895" w:rsidRPr="00906895" w:rsidRDefault="00906895" w:rsidP="0035389B">
            <w:pPr>
              <w:rPr>
                <w:sz w:val="22"/>
              </w:rPr>
            </w:pPr>
            <w:r w:rsidRPr="00906895">
              <w:rPr>
                <w:sz w:val="22"/>
              </w:rPr>
              <w:t>Rémunération brute perçue au titre de la période courant du 1</w:t>
            </w:r>
            <w:r w:rsidRPr="00906895">
              <w:rPr>
                <w:sz w:val="22"/>
                <w:vertAlign w:val="superscript"/>
              </w:rPr>
              <w:t>er</w:t>
            </w:r>
            <w:r w:rsidRPr="00906895">
              <w:rPr>
                <w:sz w:val="22"/>
              </w:rPr>
              <w:t xml:space="preserve"> juillet 2022 au 30 juin 2023</w:t>
            </w:r>
          </w:p>
        </w:tc>
        <w:tc>
          <w:tcPr>
            <w:tcW w:w="3357" w:type="dxa"/>
          </w:tcPr>
          <w:p w14:paraId="67A73DD9" w14:textId="153FFFEE" w:rsidR="00906895" w:rsidRPr="00906895" w:rsidRDefault="00906895" w:rsidP="0035389B">
            <w:pPr>
              <w:rPr>
                <w:color w:val="5B9BD5" w:themeColor="accent1"/>
                <w:sz w:val="22"/>
              </w:rPr>
            </w:pPr>
            <w:r w:rsidRPr="00906895">
              <w:rPr>
                <w:color w:val="5B9BD5" w:themeColor="accent1"/>
                <w:sz w:val="22"/>
              </w:rPr>
              <w:t>Montant maximum de la prime de pouvoir d’achat fixé par le décret</w:t>
            </w:r>
          </w:p>
        </w:tc>
        <w:tc>
          <w:tcPr>
            <w:tcW w:w="2961" w:type="dxa"/>
          </w:tcPr>
          <w:p w14:paraId="77372745" w14:textId="578DF8CF" w:rsidR="00906895" w:rsidRPr="00906895" w:rsidRDefault="00906895" w:rsidP="0035389B">
            <w:pPr>
              <w:rPr>
                <w:color w:val="5B9BD5" w:themeColor="accent1"/>
                <w:sz w:val="22"/>
              </w:rPr>
            </w:pPr>
            <w:r>
              <w:rPr>
                <w:color w:val="5B9BD5" w:themeColor="accent1"/>
                <w:sz w:val="22"/>
              </w:rPr>
              <w:t>Montant fixé par la collectivité</w:t>
            </w:r>
            <w:r w:rsidR="0093631A">
              <w:rPr>
                <w:color w:val="5B9BD5" w:themeColor="accent1"/>
                <w:sz w:val="22"/>
              </w:rPr>
              <w:t xml:space="preserve"> ou l’établissement</w:t>
            </w:r>
            <w:r w:rsidR="000D035C">
              <w:rPr>
                <w:color w:val="5B9BD5" w:themeColor="accent1"/>
                <w:sz w:val="22"/>
              </w:rPr>
              <w:t xml:space="preserve"> ou le groupement</w:t>
            </w:r>
          </w:p>
        </w:tc>
      </w:tr>
      <w:tr w:rsidR="00906895" w:rsidRPr="00F53F03" w14:paraId="5DB498A6" w14:textId="19EA7C94" w:rsidTr="003D4190">
        <w:tc>
          <w:tcPr>
            <w:tcW w:w="3536" w:type="dxa"/>
          </w:tcPr>
          <w:p w14:paraId="144C7EE4" w14:textId="20CA1CF9" w:rsidR="00906895" w:rsidRPr="003D4190" w:rsidRDefault="00906895" w:rsidP="0035389B">
            <w:pPr>
              <w:rPr>
                <w:sz w:val="22"/>
              </w:rPr>
            </w:pPr>
            <w:r w:rsidRPr="003D4190">
              <w:rPr>
                <w:sz w:val="22"/>
              </w:rPr>
              <w:t>Inférieure ou égale à 23 700 €</w:t>
            </w:r>
          </w:p>
        </w:tc>
        <w:tc>
          <w:tcPr>
            <w:tcW w:w="3357" w:type="dxa"/>
          </w:tcPr>
          <w:p w14:paraId="55ACB550" w14:textId="2B021FCA" w:rsidR="00906895" w:rsidRPr="003D4190" w:rsidRDefault="00906895" w:rsidP="0035389B">
            <w:pPr>
              <w:rPr>
                <w:color w:val="5B9BD5" w:themeColor="accent1"/>
                <w:sz w:val="22"/>
              </w:rPr>
            </w:pPr>
            <w:r w:rsidRPr="003D4190">
              <w:rPr>
                <w:color w:val="5B9BD5" w:themeColor="accent1"/>
                <w:sz w:val="22"/>
              </w:rPr>
              <w:t xml:space="preserve">800 € </w:t>
            </w:r>
          </w:p>
        </w:tc>
        <w:tc>
          <w:tcPr>
            <w:tcW w:w="2961" w:type="dxa"/>
          </w:tcPr>
          <w:p w14:paraId="53B9ECA4" w14:textId="77777777" w:rsidR="00906895" w:rsidRPr="00906895" w:rsidRDefault="00906895" w:rsidP="0035389B">
            <w:pPr>
              <w:rPr>
                <w:color w:val="5B9BD5" w:themeColor="accent1"/>
                <w:sz w:val="22"/>
              </w:rPr>
            </w:pPr>
          </w:p>
        </w:tc>
      </w:tr>
      <w:tr w:rsidR="00906895" w:rsidRPr="00F53F03" w14:paraId="69C0CD36" w14:textId="1EB8363B" w:rsidTr="003D4190">
        <w:tc>
          <w:tcPr>
            <w:tcW w:w="3536" w:type="dxa"/>
          </w:tcPr>
          <w:p w14:paraId="7451094B" w14:textId="40256457" w:rsidR="00906895" w:rsidRPr="003D4190" w:rsidRDefault="00906895" w:rsidP="0035389B">
            <w:pPr>
              <w:rPr>
                <w:sz w:val="22"/>
              </w:rPr>
            </w:pPr>
            <w:r w:rsidRPr="003D4190">
              <w:rPr>
                <w:sz w:val="22"/>
              </w:rPr>
              <w:t>Supérieure à 23 700 € et inférieure ou égale à 27 300 €</w:t>
            </w:r>
          </w:p>
        </w:tc>
        <w:tc>
          <w:tcPr>
            <w:tcW w:w="3357" w:type="dxa"/>
          </w:tcPr>
          <w:p w14:paraId="63DE7F26" w14:textId="2A7D7BC6" w:rsidR="00906895" w:rsidRPr="003D4190" w:rsidRDefault="00906895" w:rsidP="0035389B">
            <w:pPr>
              <w:rPr>
                <w:color w:val="5B9BD5" w:themeColor="accent1"/>
                <w:sz w:val="22"/>
              </w:rPr>
            </w:pPr>
            <w:r w:rsidRPr="003D4190">
              <w:rPr>
                <w:color w:val="5B9BD5" w:themeColor="accent1"/>
                <w:sz w:val="22"/>
              </w:rPr>
              <w:t>700 €</w:t>
            </w:r>
          </w:p>
        </w:tc>
        <w:tc>
          <w:tcPr>
            <w:tcW w:w="2961" w:type="dxa"/>
          </w:tcPr>
          <w:p w14:paraId="1C05496E" w14:textId="77777777" w:rsidR="00906895" w:rsidRPr="00906895" w:rsidRDefault="00906895" w:rsidP="0035389B">
            <w:pPr>
              <w:rPr>
                <w:color w:val="5B9BD5" w:themeColor="accent1"/>
                <w:sz w:val="22"/>
              </w:rPr>
            </w:pPr>
          </w:p>
        </w:tc>
      </w:tr>
      <w:tr w:rsidR="00906895" w:rsidRPr="00F53F03" w14:paraId="5F005F8D" w14:textId="11DECC31" w:rsidTr="003D4190">
        <w:tc>
          <w:tcPr>
            <w:tcW w:w="3536" w:type="dxa"/>
          </w:tcPr>
          <w:p w14:paraId="248D8CDA" w14:textId="5B749548" w:rsidR="00906895" w:rsidRPr="003D4190" w:rsidRDefault="00906895" w:rsidP="0035389B">
            <w:pPr>
              <w:rPr>
                <w:sz w:val="22"/>
              </w:rPr>
            </w:pPr>
            <w:r w:rsidRPr="003D4190">
              <w:rPr>
                <w:sz w:val="22"/>
              </w:rPr>
              <w:t>Supérieure à 27 300 € et inférieure ou égale à 29 160 €</w:t>
            </w:r>
          </w:p>
        </w:tc>
        <w:tc>
          <w:tcPr>
            <w:tcW w:w="3357" w:type="dxa"/>
          </w:tcPr>
          <w:p w14:paraId="656140D0" w14:textId="55A15D19" w:rsidR="00906895" w:rsidRPr="003D4190" w:rsidRDefault="00906895" w:rsidP="0035389B">
            <w:pPr>
              <w:rPr>
                <w:color w:val="5B9BD5" w:themeColor="accent1"/>
                <w:sz w:val="22"/>
              </w:rPr>
            </w:pPr>
            <w:r w:rsidRPr="003D4190">
              <w:rPr>
                <w:color w:val="5B9BD5" w:themeColor="accent1"/>
                <w:sz w:val="22"/>
              </w:rPr>
              <w:t>600 €</w:t>
            </w:r>
          </w:p>
        </w:tc>
        <w:tc>
          <w:tcPr>
            <w:tcW w:w="2961" w:type="dxa"/>
          </w:tcPr>
          <w:p w14:paraId="2B4C355D" w14:textId="77777777" w:rsidR="00906895" w:rsidRPr="00906895" w:rsidRDefault="00906895" w:rsidP="0035389B">
            <w:pPr>
              <w:rPr>
                <w:color w:val="5B9BD5" w:themeColor="accent1"/>
                <w:sz w:val="22"/>
              </w:rPr>
            </w:pPr>
          </w:p>
        </w:tc>
      </w:tr>
      <w:tr w:rsidR="00906895" w:rsidRPr="00F53F03" w14:paraId="6E556560" w14:textId="25A80827" w:rsidTr="003D4190">
        <w:tc>
          <w:tcPr>
            <w:tcW w:w="3536" w:type="dxa"/>
          </w:tcPr>
          <w:p w14:paraId="2C5E84F5" w14:textId="573FDDA6" w:rsidR="00906895" w:rsidRPr="003D4190" w:rsidRDefault="00906895" w:rsidP="0035389B">
            <w:pPr>
              <w:rPr>
                <w:sz w:val="22"/>
              </w:rPr>
            </w:pPr>
            <w:r w:rsidRPr="003D4190">
              <w:rPr>
                <w:sz w:val="22"/>
              </w:rPr>
              <w:t>Supérieure à 29 160 € et inférieure ou égale à 30 840 €</w:t>
            </w:r>
          </w:p>
        </w:tc>
        <w:tc>
          <w:tcPr>
            <w:tcW w:w="3357" w:type="dxa"/>
          </w:tcPr>
          <w:p w14:paraId="411F7196" w14:textId="64D4DFFA" w:rsidR="00906895" w:rsidRPr="003D4190" w:rsidRDefault="00906895" w:rsidP="0035389B">
            <w:pPr>
              <w:rPr>
                <w:color w:val="5B9BD5" w:themeColor="accent1"/>
                <w:sz w:val="22"/>
              </w:rPr>
            </w:pPr>
            <w:r w:rsidRPr="003D4190">
              <w:rPr>
                <w:color w:val="5B9BD5" w:themeColor="accent1"/>
                <w:sz w:val="22"/>
              </w:rPr>
              <w:t>500 €</w:t>
            </w:r>
          </w:p>
        </w:tc>
        <w:tc>
          <w:tcPr>
            <w:tcW w:w="2961" w:type="dxa"/>
          </w:tcPr>
          <w:p w14:paraId="3A4D9211" w14:textId="77777777" w:rsidR="00906895" w:rsidRPr="00906895" w:rsidRDefault="00906895" w:rsidP="0035389B">
            <w:pPr>
              <w:rPr>
                <w:color w:val="5B9BD5" w:themeColor="accent1"/>
                <w:sz w:val="22"/>
              </w:rPr>
            </w:pPr>
          </w:p>
        </w:tc>
      </w:tr>
      <w:tr w:rsidR="00906895" w:rsidRPr="00F53F03" w14:paraId="190A7536" w14:textId="4CE95E1B" w:rsidTr="003D4190">
        <w:tc>
          <w:tcPr>
            <w:tcW w:w="3536" w:type="dxa"/>
          </w:tcPr>
          <w:p w14:paraId="5D1F0491" w14:textId="74A0E375" w:rsidR="00906895" w:rsidRPr="003D4190" w:rsidRDefault="00906895" w:rsidP="0035389B">
            <w:pPr>
              <w:rPr>
                <w:sz w:val="22"/>
              </w:rPr>
            </w:pPr>
            <w:r w:rsidRPr="003D4190">
              <w:rPr>
                <w:sz w:val="22"/>
              </w:rPr>
              <w:t>Supérieure à 30 840 € et inférieure ou égale à 32 280 €</w:t>
            </w:r>
          </w:p>
        </w:tc>
        <w:tc>
          <w:tcPr>
            <w:tcW w:w="3357" w:type="dxa"/>
          </w:tcPr>
          <w:p w14:paraId="09FF0FB6" w14:textId="4EFD41DF" w:rsidR="00906895" w:rsidRPr="003D4190" w:rsidRDefault="00906895" w:rsidP="0035389B">
            <w:pPr>
              <w:rPr>
                <w:color w:val="5B9BD5" w:themeColor="accent1"/>
                <w:sz w:val="22"/>
              </w:rPr>
            </w:pPr>
            <w:r w:rsidRPr="003D4190">
              <w:rPr>
                <w:color w:val="5B9BD5" w:themeColor="accent1"/>
                <w:sz w:val="22"/>
              </w:rPr>
              <w:t>400 €</w:t>
            </w:r>
          </w:p>
        </w:tc>
        <w:tc>
          <w:tcPr>
            <w:tcW w:w="2961" w:type="dxa"/>
          </w:tcPr>
          <w:p w14:paraId="2FCC1A09" w14:textId="77777777" w:rsidR="00906895" w:rsidRPr="00906895" w:rsidRDefault="00906895" w:rsidP="0035389B">
            <w:pPr>
              <w:rPr>
                <w:color w:val="5B9BD5" w:themeColor="accent1"/>
                <w:sz w:val="22"/>
              </w:rPr>
            </w:pPr>
          </w:p>
        </w:tc>
      </w:tr>
      <w:tr w:rsidR="00906895" w:rsidRPr="00F53F03" w14:paraId="14C821E4" w14:textId="440F9825" w:rsidTr="003D4190">
        <w:tc>
          <w:tcPr>
            <w:tcW w:w="3536" w:type="dxa"/>
          </w:tcPr>
          <w:p w14:paraId="413F6605" w14:textId="1242D37E" w:rsidR="00906895" w:rsidRPr="003D4190" w:rsidRDefault="00906895" w:rsidP="0035389B">
            <w:pPr>
              <w:rPr>
                <w:sz w:val="22"/>
              </w:rPr>
            </w:pPr>
            <w:r w:rsidRPr="003D4190">
              <w:rPr>
                <w:sz w:val="22"/>
              </w:rPr>
              <w:t>Supérieure à 32 280 € et inférieure ou égale à 33 600 €</w:t>
            </w:r>
          </w:p>
        </w:tc>
        <w:tc>
          <w:tcPr>
            <w:tcW w:w="3357" w:type="dxa"/>
          </w:tcPr>
          <w:p w14:paraId="383999A5" w14:textId="1585C969" w:rsidR="00906895" w:rsidRPr="003D4190" w:rsidRDefault="00906895" w:rsidP="0035389B">
            <w:pPr>
              <w:rPr>
                <w:color w:val="5B9BD5" w:themeColor="accent1"/>
                <w:sz w:val="22"/>
              </w:rPr>
            </w:pPr>
            <w:r w:rsidRPr="003D4190">
              <w:rPr>
                <w:color w:val="5B9BD5" w:themeColor="accent1"/>
                <w:sz w:val="22"/>
              </w:rPr>
              <w:t>350 €</w:t>
            </w:r>
          </w:p>
        </w:tc>
        <w:tc>
          <w:tcPr>
            <w:tcW w:w="2961" w:type="dxa"/>
          </w:tcPr>
          <w:p w14:paraId="254CAB38" w14:textId="77777777" w:rsidR="00906895" w:rsidRPr="00906895" w:rsidRDefault="00906895" w:rsidP="0035389B">
            <w:pPr>
              <w:rPr>
                <w:color w:val="5B9BD5" w:themeColor="accent1"/>
                <w:sz w:val="22"/>
              </w:rPr>
            </w:pPr>
          </w:p>
        </w:tc>
      </w:tr>
      <w:tr w:rsidR="00906895" w:rsidRPr="00F53F03" w14:paraId="6B5D74D9" w14:textId="09514CC7" w:rsidTr="003D4190">
        <w:tc>
          <w:tcPr>
            <w:tcW w:w="3536" w:type="dxa"/>
          </w:tcPr>
          <w:p w14:paraId="5CC8DE3A" w14:textId="38FC1A12" w:rsidR="00906895" w:rsidRPr="003D4190" w:rsidRDefault="00906895" w:rsidP="0035389B">
            <w:pPr>
              <w:rPr>
                <w:sz w:val="22"/>
              </w:rPr>
            </w:pPr>
            <w:r w:rsidRPr="003D4190">
              <w:rPr>
                <w:sz w:val="22"/>
              </w:rPr>
              <w:t>Supérieure à 33 600 € et inférieure ou égale à 39 000 €</w:t>
            </w:r>
          </w:p>
        </w:tc>
        <w:tc>
          <w:tcPr>
            <w:tcW w:w="3357" w:type="dxa"/>
          </w:tcPr>
          <w:p w14:paraId="21022BF7" w14:textId="4FAD8612" w:rsidR="00906895" w:rsidRPr="003D4190" w:rsidRDefault="00906895" w:rsidP="0035389B">
            <w:pPr>
              <w:rPr>
                <w:color w:val="5B9BD5" w:themeColor="accent1"/>
                <w:sz w:val="22"/>
              </w:rPr>
            </w:pPr>
            <w:r w:rsidRPr="003D4190">
              <w:rPr>
                <w:color w:val="5B9BD5" w:themeColor="accent1"/>
                <w:sz w:val="22"/>
              </w:rPr>
              <w:t>300 €</w:t>
            </w:r>
          </w:p>
        </w:tc>
        <w:tc>
          <w:tcPr>
            <w:tcW w:w="2961" w:type="dxa"/>
          </w:tcPr>
          <w:p w14:paraId="0EFB2212" w14:textId="77777777" w:rsidR="00906895" w:rsidRPr="00906895" w:rsidRDefault="00906895" w:rsidP="0035389B">
            <w:pPr>
              <w:rPr>
                <w:color w:val="5B9BD5" w:themeColor="accent1"/>
                <w:sz w:val="22"/>
              </w:rPr>
            </w:pPr>
          </w:p>
        </w:tc>
      </w:tr>
    </w:tbl>
    <w:p w14:paraId="25C1A5A8" w14:textId="77777777" w:rsidR="00472114" w:rsidRPr="003D4190" w:rsidRDefault="00472114" w:rsidP="0035389B">
      <w:pPr>
        <w:rPr>
          <w:sz w:val="22"/>
        </w:rPr>
      </w:pPr>
    </w:p>
    <w:p w14:paraId="5D29FD13" w14:textId="0B3724CF" w:rsidR="0035389B" w:rsidRDefault="00593235" w:rsidP="000D035C">
      <w:pPr>
        <w:jc w:val="both"/>
      </w:pPr>
      <w:r w:rsidRPr="003D4190">
        <w:rPr>
          <w:sz w:val="22"/>
        </w:rPr>
        <w:t xml:space="preserve">Les montants susmentionnés feront l’objet d’une proratisation en cas d’exercice des fonctions à temps non complet ou à temps partiel ainsi qu’en cas </w:t>
      </w:r>
      <w:r w:rsidR="009658A4" w:rsidRPr="003D4190">
        <w:rPr>
          <w:sz w:val="22"/>
        </w:rPr>
        <w:t>de durée d’emploi incomplète sur la période courant du 1</w:t>
      </w:r>
      <w:r w:rsidR="009658A4" w:rsidRPr="003D4190">
        <w:rPr>
          <w:sz w:val="22"/>
          <w:vertAlign w:val="superscript"/>
        </w:rPr>
        <w:t>er</w:t>
      </w:r>
      <w:r w:rsidR="009658A4" w:rsidRPr="003D4190">
        <w:rPr>
          <w:sz w:val="22"/>
        </w:rPr>
        <w:t xml:space="preserve"> juillet 2022 au 30 juin 2023.</w:t>
      </w:r>
    </w:p>
    <w:p w14:paraId="2EDE9E5D" w14:textId="6EEE9981" w:rsidR="0035389B" w:rsidRDefault="00593235" w:rsidP="0035389B">
      <w:pPr>
        <w:pStyle w:val="Titre1"/>
      </w:pPr>
      <w:r>
        <w:t>Les m</w:t>
      </w:r>
      <w:r w:rsidR="00841E85">
        <w:t>odalités de versement</w:t>
      </w:r>
    </w:p>
    <w:p w14:paraId="13537719" w14:textId="6B96946B" w:rsidR="00F53F03" w:rsidRPr="003D4190" w:rsidRDefault="00F53F03" w:rsidP="000D035C">
      <w:pPr>
        <w:jc w:val="both"/>
        <w:rPr>
          <w:sz w:val="22"/>
        </w:rPr>
      </w:pPr>
      <w:r w:rsidRPr="003D4190">
        <w:rPr>
          <w:sz w:val="22"/>
        </w:rPr>
        <w:t xml:space="preserve">La prime est versée par </w:t>
      </w:r>
      <w:r w:rsidRPr="003D4190">
        <w:rPr>
          <w:i/>
          <w:color w:val="5B9BD5" w:themeColor="accent1"/>
          <w:sz w:val="22"/>
        </w:rPr>
        <w:t xml:space="preserve">la collectivité territoriale OU l’établissement OU le groupement qui </w:t>
      </w:r>
      <w:r w:rsidRPr="003D4190">
        <w:rPr>
          <w:sz w:val="22"/>
        </w:rPr>
        <w:t xml:space="preserve">emploie et rémunère l’agent au 30 juin 2023. </w:t>
      </w:r>
    </w:p>
    <w:p w14:paraId="77CBA43C" w14:textId="385D50F3" w:rsidR="00472114" w:rsidRPr="003D4190" w:rsidRDefault="00F53F03" w:rsidP="000D035C">
      <w:pPr>
        <w:jc w:val="both"/>
        <w:rPr>
          <w:sz w:val="22"/>
        </w:rPr>
      </w:pPr>
      <w:r w:rsidRPr="003D4190">
        <w:rPr>
          <w:sz w:val="22"/>
        </w:rPr>
        <w:t xml:space="preserve">Lorsque plusieurs employeurs publics ont successivement employé et rémunéré l’agent au cours de la période, la rémunération prise en compte est celle versée par </w:t>
      </w:r>
      <w:r w:rsidRPr="003D4190">
        <w:rPr>
          <w:i/>
          <w:color w:val="5B9BD5" w:themeColor="accent1"/>
          <w:sz w:val="22"/>
        </w:rPr>
        <w:t>la collectivité OU l’établissement OU le groupement</w:t>
      </w:r>
      <w:r w:rsidRPr="003D4190">
        <w:rPr>
          <w:sz w:val="22"/>
        </w:rPr>
        <w:t xml:space="preserve"> qui emploi</w:t>
      </w:r>
      <w:r w:rsidR="003D4190">
        <w:rPr>
          <w:sz w:val="22"/>
        </w:rPr>
        <w:t>e</w:t>
      </w:r>
      <w:r w:rsidRPr="003D4190">
        <w:rPr>
          <w:sz w:val="22"/>
        </w:rPr>
        <w:t xml:space="preserve"> et rémunère l’agent au 30 juin 2023, corrigée pour correspondre à une année pleine. </w:t>
      </w:r>
    </w:p>
    <w:p w14:paraId="3FC3FABB" w14:textId="20C20D88" w:rsidR="00F53F03" w:rsidRPr="003D4190" w:rsidRDefault="00F53F03" w:rsidP="000D035C">
      <w:pPr>
        <w:jc w:val="both"/>
        <w:rPr>
          <w:sz w:val="22"/>
        </w:rPr>
      </w:pPr>
      <w:r w:rsidRPr="003D4190">
        <w:rPr>
          <w:sz w:val="22"/>
        </w:rPr>
        <w:t xml:space="preserve">Lorsque plusieurs employeurs publics emploient et rémunèrent simultanément l’agent au 30 juin 2023, la rémunération prise en compte est celle versée par chaque </w:t>
      </w:r>
      <w:r w:rsidRPr="003D4190">
        <w:rPr>
          <w:i/>
          <w:color w:val="5B9BD5" w:themeColor="accent1"/>
          <w:sz w:val="22"/>
        </w:rPr>
        <w:t>collectivité OU établissement OU groupement</w:t>
      </w:r>
      <w:r w:rsidRPr="003D4190">
        <w:rPr>
          <w:sz w:val="22"/>
        </w:rPr>
        <w:t xml:space="preserve">, corrigée pour correspondre à une année pleine. </w:t>
      </w:r>
    </w:p>
    <w:p w14:paraId="5283D1B7" w14:textId="57CEECBF" w:rsidR="00593235" w:rsidRPr="003D4190" w:rsidRDefault="00593235" w:rsidP="000D035C">
      <w:pPr>
        <w:jc w:val="both"/>
        <w:rPr>
          <w:sz w:val="22"/>
        </w:rPr>
      </w:pPr>
      <w:r w:rsidRPr="003D4190">
        <w:rPr>
          <w:sz w:val="22"/>
        </w:rPr>
        <w:t xml:space="preserve">La prime </w:t>
      </w:r>
      <w:r w:rsidR="003D4190">
        <w:rPr>
          <w:sz w:val="22"/>
        </w:rPr>
        <w:t xml:space="preserve">de </w:t>
      </w:r>
      <w:r w:rsidRPr="003D4190">
        <w:rPr>
          <w:sz w:val="22"/>
        </w:rPr>
        <w:t>pouvoir d’achat fera l’objet d’un versement en une ou plusieurs fractions</w:t>
      </w:r>
      <w:r w:rsidR="00906895">
        <w:rPr>
          <w:sz w:val="22"/>
        </w:rPr>
        <w:t xml:space="preserve"> </w:t>
      </w:r>
      <w:r w:rsidR="00906895" w:rsidRPr="003D4190">
        <w:rPr>
          <w:color w:val="ED7D31" w:themeColor="accent2"/>
          <w:sz w:val="22"/>
        </w:rPr>
        <w:t>(à préciser)</w:t>
      </w:r>
      <w:r w:rsidR="00472114" w:rsidRPr="003D4190">
        <w:rPr>
          <w:color w:val="ED7D31" w:themeColor="accent2"/>
          <w:sz w:val="22"/>
        </w:rPr>
        <w:t xml:space="preserve">, </w:t>
      </w:r>
      <w:r w:rsidR="00472114" w:rsidRPr="003D4190">
        <w:rPr>
          <w:sz w:val="22"/>
        </w:rPr>
        <w:t xml:space="preserve">pour un versement total effectué avant le 30 juin 2024. </w:t>
      </w:r>
    </w:p>
    <w:p w14:paraId="42E9FA5E" w14:textId="51702F2F" w:rsidR="0035389B" w:rsidRPr="003D4190" w:rsidRDefault="0035389B" w:rsidP="000D035C">
      <w:pPr>
        <w:jc w:val="both"/>
        <w:rPr>
          <w:sz w:val="22"/>
        </w:rPr>
      </w:pPr>
      <w:r w:rsidRPr="003D4190">
        <w:rPr>
          <w:sz w:val="22"/>
        </w:rPr>
        <w:t xml:space="preserve">L’attribution de la prime </w:t>
      </w:r>
      <w:r w:rsidR="003D4190">
        <w:rPr>
          <w:sz w:val="22"/>
        </w:rPr>
        <w:t xml:space="preserve">de </w:t>
      </w:r>
      <w:r w:rsidRPr="003D4190">
        <w:rPr>
          <w:sz w:val="22"/>
        </w:rPr>
        <w:t>pouvoir d’achat sera déterminée par l’autorité territoriale, pour chaque agent éligible, par voie d’arrêté individuel.</w:t>
      </w:r>
    </w:p>
    <w:p w14:paraId="73663A6C" w14:textId="5987FFE1" w:rsidR="00C62AD9" w:rsidRPr="003D4190" w:rsidRDefault="00C62AD9" w:rsidP="000D035C">
      <w:pPr>
        <w:jc w:val="both"/>
        <w:rPr>
          <w:sz w:val="22"/>
        </w:rPr>
      </w:pPr>
      <w:r w:rsidRPr="003D4190">
        <w:rPr>
          <w:sz w:val="22"/>
        </w:rPr>
        <w:lastRenderedPageBreak/>
        <w:t>La prime de pouvoir d’achat est cumulable avec toutes les primes et indemnités perçues par l’agent</w:t>
      </w:r>
      <w:r w:rsidR="00906895">
        <w:rPr>
          <w:sz w:val="22"/>
        </w:rPr>
        <w:t>, sauf la prime de pouvoir d’achat exceptionnelle pour certains agents publics civils de la fonction publique de l’Etat et de la fonction publique hospitalière ainsi que pour les militaires.</w:t>
      </w:r>
    </w:p>
    <w:p w14:paraId="2536BF38" w14:textId="77777777" w:rsidR="0035389B" w:rsidRPr="003D4190" w:rsidRDefault="0035389B" w:rsidP="000D035C">
      <w:pPr>
        <w:jc w:val="both"/>
        <w:rPr>
          <w:sz w:val="22"/>
        </w:rPr>
      </w:pPr>
    </w:p>
    <w:p w14:paraId="6F363848" w14:textId="77777777" w:rsidR="007052C5" w:rsidRPr="00F53F03" w:rsidRDefault="007052C5" w:rsidP="000D035C">
      <w:pPr>
        <w:spacing w:after="60"/>
        <w:jc w:val="both"/>
        <w:rPr>
          <w:rFonts w:cs="Arial"/>
          <w:sz w:val="22"/>
        </w:rPr>
      </w:pPr>
      <w:r w:rsidRPr="00F53F03">
        <w:rPr>
          <w:rFonts w:cs="Arial"/>
          <w:b/>
          <w:bCs/>
          <w:sz w:val="22"/>
        </w:rPr>
        <w:t>Après avoir délibéré, le Conseil décide</w:t>
      </w:r>
      <w:r w:rsidRPr="00F53F03">
        <w:rPr>
          <w:rFonts w:cs="Arial"/>
          <w:sz w:val="22"/>
        </w:rPr>
        <w:t> :</w:t>
      </w:r>
    </w:p>
    <w:p w14:paraId="1923F1F0" w14:textId="6D4FF48E" w:rsidR="007052C5" w:rsidRPr="00906895" w:rsidRDefault="007052C5" w:rsidP="000D035C">
      <w:pPr>
        <w:spacing w:after="60"/>
        <w:jc w:val="both"/>
        <w:rPr>
          <w:rFonts w:cs="Arial"/>
          <w:sz w:val="22"/>
        </w:rPr>
      </w:pPr>
      <w:r w:rsidRPr="00906895">
        <w:rPr>
          <w:rFonts w:cs="Arial"/>
          <w:sz w:val="22"/>
        </w:rPr>
        <w:t>-</w:t>
      </w:r>
      <w:r w:rsidR="00EF3AA3" w:rsidRPr="00906895">
        <w:rPr>
          <w:rFonts w:cs="Arial"/>
          <w:sz w:val="22"/>
        </w:rPr>
        <w:t xml:space="preserve"> </w:t>
      </w:r>
      <w:r w:rsidRPr="00906895">
        <w:rPr>
          <w:rFonts w:cs="Arial"/>
          <w:sz w:val="22"/>
        </w:rPr>
        <w:t xml:space="preserve">d’instaurer </w:t>
      </w:r>
      <w:r w:rsidR="00FE4F71" w:rsidRPr="00906895">
        <w:rPr>
          <w:rFonts w:cs="Arial"/>
          <w:sz w:val="22"/>
        </w:rPr>
        <w:t>la prime pouvoir d’achat exceptionnelle</w:t>
      </w:r>
      <w:r w:rsidR="00260DEA">
        <w:rPr>
          <w:rFonts w:cs="Arial"/>
          <w:sz w:val="22"/>
        </w:rPr>
        <w:t xml:space="preserve"> dans les conditions prévues ci-dessus</w:t>
      </w:r>
      <w:r w:rsidR="00FE4F71" w:rsidRPr="00906895">
        <w:rPr>
          <w:rFonts w:cs="Arial"/>
          <w:sz w:val="22"/>
        </w:rPr>
        <w:t>.</w:t>
      </w:r>
    </w:p>
    <w:p w14:paraId="6118EC74" w14:textId="0BD6F10D" w:rsidR="00440053" w:rsidRPr="003D4190" w:rsidRDefault="00440053" w:rsidP="000D035C">
      <w:pPr>
        <w:spacing w:after="60"/>
        <w:jc w:val="both"/>
        <w:rPr>
          <w:rFonts w:cs="Arial"/>
          <w:sz w:val="22"/>
        </w:rPr>
      </w:pPr>
      <w:r w:rsidRPr="00906895">
        <w:rPr>
          <w:rFonts w:cs="Arial"/>
          <w:sz w:val="22"/>
        </w:rPr>
        <w:t>- d’autoriser l’autorité territoriale à fixer par arrêté individuel le montant pe</w:t>
      </w:r>
      <w:r w:rsidR="00FE4F71" w:rsidRPr="00906895">
        <w:rPr>
          <w:rFonts w:cs="Arial"/>
          <w:sz w:val="22"/>
        </w:rPr>
        <w:t>rçu par chaque agent au titre de la prime de pouvoir d’achat exceptionnelle</w:t>
      </w:r>
      <w:r w:rsidRPr="003D4190">
        <w:rPr>
          <w:rFonts w:cs="Arial"/>
          <w:sz w:val="22"/>
        </w:rPr>
        <w:t>.</w:t>
      </w:r>
    </w:p>
    <w:p w14:paraId="7AE1C485" w14:textId="77777777" w:rsidR="007052C5" w:rsidRPr="003D4190" w:rsidRDefault="007052C5" w:rsidP="000D035C">
      <w:pPr>
        <w:spacing w:after="60"/>
        <w:jc w:val="both"/>
        <w:rPr>
          <w:rFonts w:cs="Arial"/>
          <w:sz w:val="22"/>
        </w:rPr>
      </w:pPr>
      <w:r w:rsidRPr="003D4190">
        <w:rPr>
          <w:rFonts w:cs="Arial"/>
          <w:sz w:val="22"/>
        </w:rPr>
        <w:t>-</w:t>
      </w:r>
      <w:r w:rsidR="00EF3AA3" w:rsidRPr="003D4190">
        <w:rPr>
          <w:rFonts w:cs="Arial"/>
          <w:sz w:val="22"/>
        </w:rPr>
        <w:t xml:space="preserve"> de prévoir</w:t>
      </w:r>
      <w:r w:rsidRPr="003D4190">
        <w:rPr>
          <w:rFonts w:cs="Arial"/>
          <w:sz w:val="22"/>
        </w:rPr>
        <w:t xml:space="preserve"> les crédits correspondants au budget.</w:t>
      </w:r>
    </w:p>
    <w:p w14:paraId="423D0C0A" w14:textId="0993B391" w:rsidR="00EF3AA3" w:rsidRPr="003D4190" w:rsidRDefault="00EF3AA3" w:rsidP="00612FEA">
      <w:pPr>
        <w:spacing w:after="60"/>
        <w:rPr>
          <w:rFonts w:eastAsia="Frutiger 57 Condensed" w:cs="Arial"/>
          <w:sz w:val="22"/>
        </w:rPr>
      </w:pPr>
    </w:p>
    <w:sectPr w:rsidR="00EF3AA3" w:rsidRPr="003D4190" w:rsidSect="00440053">
      <w:headerReference w:type="default" r:id="rId9"/>
      <w:footerReference w:type="default" r:id="rId10"/>
      <w:pgSz w:w="11906" w:h="16838"/>
      <w:pgMar w:top="1021" w:right="1021" w:bottom="1021"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CE91" w14:textId="77777777" w:rsidR="001D5EAB" w:rsidRDefault="001D5EAB">
      <w:pPr>
        <w:spacing w:after="0"/>
      </w:pPr>
      <w:r>
        <w:separator/>
      </w:r>
    </w:p>
  </w:endnote>
  <w:endnote w:type="continuationSeparator" w:id="0">
    <w:p w14:paraId="39388FAC" w14:textId="77777777" w:rsidR="001D5EAB" w:rsidRDefault="001D5E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iplexBold">
    <w:altName w:val="Arial"/>
    <w:panose1 w:val="00000000000000000000"/>
    <w:charset w:val="00"/>
    <w:family w:val="modern"/>
    <w:notTrueType/>
    <w:pitch w:val="variable"/>
    <w:sig w:usb0="A00000AF" w:usb1="50002048" w:usb2="00000000" w:usb3="00000000" w:csb0="00000111" w:csb1="00000000"/>
  </w:font>
  <w:font w:name="Frutiger 57 Condensed">
    <w:altName w:val="Arial"/>
    <w:charset w:val="00"/>
    <w:family w:val="moder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BPCF O+ Frutige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54046"/>
      <w:docPartObj>
        <w:docPartGallery w:val="Page Numbers (Bottom of Page)"/>
        <w:docPartUnique/>
      </w:docPartObj>
    </w:sdtPr>
    <w:sdtEndPr/>
    <w:sdtContent>
      <w:p w14:paraId="32C7C442" w14:textId="64CB217B" w:rsidR="00C35B04" w:rsidRDefault="00C35B04">
        <w:pPr>
          <w:pStyle w:val="Pieddepage"/>
          <w:jc w:val="right"/>
        </w:pPr>
        <w:r>
          <w:fldChar w:fldCharType="begin"/>
        </w:r>
        <w:r>
          <w:instrText>PAGE   \* MERGEFORMAT</w:instrText>
        </w:r>
        <w:r>
          <w:fldChar w:fldCharType="separate"/>
        </w:r>
        <w:r>
          <w:rPr>
            <w:noProof/>
          </w:rPr>
          <w:t>2</w:t>
        </w:r>
        <w:r>
          <w:fldChar w:fldCharType="end"/>
        </w:r>
      </w:p>
    </w:sdtContent>
  </w:sdt>
  <w:p w14:paraId="0A27FEB7" w14:textId="77777777" w:rsidR="00F21A48" w:rsidRDefault="00F21A48">
    <w:pPr>
      <w:pStyle w:val="Pieddepage"/>
      <w:spacing w:after="0"/>
      <w:ind w:left="-5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E941" w14:textId="77777777" w:rsidR="001D5EAB" w:rsidRDefault="001D5EAB">
      <w:pPr>
        <w:spacing w:after="0"/>
      </w:pPr>
      <w:r>
        <w:separator/>
      </w:r>
    </w:p>
  </w:footnote>
  <w:footnote w:type="continuationSeparator" w:id="0">
    <w:p w14:paraId="382A38A9" w14:textId="77777777" w:rsidR="001D5EAB" w:rsidRDefault="001D5E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E0C1" w14:textId="77777777" w:rsidR="00F21A48" w:rsidRDefault="00F21A48">
    <w:pPr>
      <w:pStyle w:val="En-tte"/>
      <w:spacing w:after="0"/>
      <w:ind w:left="-5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928E42"/>
    <w:lvl w:ilvl="0">
      <w:start w:val="1"/>
      <w:numFmt w:val="bullet"/>
      <w:pStyle w:val="Listepuces"/>
      <w:lvlText w:val=""/>
      <w:lvlJc w:val="left"/>
      <w:pPr>
        <w:tabs>
          <w:tab w:val="num" w:pos="360"/>
        </w:tabs>
        <w:ind w:left="360" w:hanging="360"/>
      </w:pPr>
      <w:rPr>
        <w:rFonts w:ascii="Wingdings" w:hAnsi="Wingdings" w:hint="default"/>
      </w:rPr>
    </w:lvl>
  </w:abstractNum>
  <w:abstractNum w:abstractNumId="1" w15:restartNumberingAfterBreak="0">
    <w:nsid w:val="0D872E55"/>
    <w:multiLevelType w:val="multilevel"/>
    <w:tmpl w:val="F3C6A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64E5C8C"/>
    <w:multiLevelType w:val="hybridMultilevel"/>
    <w:tmpl w:val="3BDD1D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3D4579"/>
    <w:multiLevelType w:val="hybridMultilevel"/>
    <w:tmpl w:val="CFA2F72E"/>
    <w:lvl w:ilvl="0" w:tplc="040C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94443A"/>
    <w:multiLevelType w:val="hybridMultilevel"/>
    <w:tmpl w:val="6186E48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7E3D42"/>
    <w:multiLevelType w:val="hybridMultilevel"/>
    <w:tmpl w:val="9B66FD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16657A"/>
    <w:multiLevelType w:val="hybridMultilevel"/>
    <w:tmpl w:val="FF6CE2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1930CE"/>
    <w:multiLevelType w:val="multilevel"/>
    <w:tmpl w:val="38C656B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D4BD736"/>
    <w:multiLevelType w:val="hybridMultilevel"/>
    <w:tmpl w:val="38466C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5C41A31"/>
    <w:multiLevelType w:val="multilevel"/>
    <w:tmpl w:val="32F43E9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0" w15:restartNumberingAfterBreak="0">
    <w:nsid w:val="609A38B5"/>
    <w:multiLevelType w:val="multilevel"/>
    <w:tmpl w:val="7B26D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5F80CE4"/>
    <w:multiLevelType w:val="hybridMultilevel"/>
    <w:tmpl w:val="AFF4C21A"/>
    <w:lvl w:ilvl="0" w:tplc="7E9825E8">
      <w:start w:val="8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72411A"/>
    <w:multiLevelType w:val="multilevel"/>
    <w:tmpl w:val="F6D855DE"/>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16cid:durableId="1623413269">
    <w:abstractNumId w:val="12"/>
  </w:num>
  <w:num w:numId="2" w16cid:durableId="1684670746">
    <w:abstractNumId w:val="0"/>
  </w:num>
  <w:num w:numId="3" w16cid:durableId="1667586439">
    <w:abstractNumId w:val="12"/>
  </w:num>
  <w:num w:numId="4" w16cid:durableId="2078165199">
    <w:abstractNumId w:val="12"/>
  </w:num>
  <w:num w:numId="5" w16cid:durableId="1509174152">
    <w:abstractNumId w:val="12"/>
  </w:num>
  <w:num w:numId="6" w16cid:durableId="1056398387">
    <w:abstractNumId w:val="12"/>
  </w:num>
  <w:num w:numId="7" w16cid:durableId="1387142233">
    <w:abstractNumId w:val="12"/>
  </w:num>
  <w:num w:numId="8" w16cid:durableId="2087606765">
    <w:abstractNumId w:val="12"/>
  </w:num>
  <w:num w:numId="9" w16cid:durableId="890770751">
    <w:abstractNumId w:val="12"/>
  </w:num>
  <w:num w:numId="10" w16cid:durableId="1516456144">
    <w:abstractNumId w:val="12"/>
  </w:num>
  <w:num w:numId="11" w16cid:durableId="882522066">
    <w:abstractNumId w:val="12"/>
  </w:num>
  <w:num w:numId="12" w16cid:durableId="1311129374">
    <w:abstractNumId w:val="9"/>
  </w:num>
  <w:num w:numId="13" w16cid:durableId="874199394">
    <w:abstractNumId w:val="7"/>
  </w:num>
  <w:num w:numId="14" w16cid:durableId="1146749902">
    <w:abstractNumId w:val="1"/>
  </w:num>
  <w:num w:numId="15" w16cid:durableId="785583383">
    <w:abstractNumId w:val="10"/>
  </w:num>
  <w:num w:numId="16" w16cid:durableId="1294940791">
    <w:abstractNumId w:val="6"/>
  </w:num>
  <w:num w:numId="17" w16cid:durableId="1564946805">
    <w:abstractNumId w:val="8"/>
  </w:num>
  <w:num w:numId="18" w16cid:durableId="554388555">
    <w:abstractNumId w:val="2"/>
  </w:num>
  <w:num w:numId="19" w16cid:durableId="1338770095">
    <w:abstractNumId w:val="4"/>
  </w:num>
  <w:num w:numId="20" w16cid:durableId="780995714">
    <w:abstractNumId w:val="3"/>
  </w:num>
  <w:num w:numId="21" w16cid:durableId="1548839176">
    <w:abstractNumId w:val="5"/>
  </w:num>
  <w:num w:numId="22" w16cid:durableId="1720863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C5"/>
    <w:rsid w:val="00015186"/>
    <w:rsid w:val="00081CF5"/>
    <w:rsid w:val="000940DE"/>
    <w:rsid w:val="00095742"/>
    <w:rsid w:val="000D035C"/>
    <w:rsid w:val="001320E5"/>
    <w:rsid w:val="00161BCD"/>
    <w:rsid w:val="00162D3C"/>
    <w:rsid w:val="001A334A"/>
    <w:rsid w:val="001D5EAB"/>
    <w:rsid w:val="002211B5"/>
    <w:rsid w:val="00245D45"/>
    <w:rsid w:val="00260DEA"/>
    <w:rsid w:val="00263180"/>
    <w:rsid w:val="0028765A"/>
    <w:rsid w:val="00305B7B"/>
    <w:rsid w:val="003160BC"/>
    <w:rsid w:val="00332FE8"/>
    <w:rsid w:val="00341A4A"/>
    <w:rsid w:val="0035389B"/>
    <w:rsid w:val="0037070F"/>
    <w:rsid w:val="003D4190"/>
    <w:rsid w:val="00400AF0"/>
    <w:rsid w:val="0041507F"/>
    <w:rsid w:val="00440053"/>
    <w:rsid w:val="00472114"/>
    <w:rsid w:val="00483B09"/>
    <w:rsid w:val="004A69E3"/>
    <w:rsid w:val="004C7254"/>
    <w:rsid w:val="004E6E4A"/>
    <w:rsid w:val="004F6EBD"/>
    <w:rsid w:val="00500A0B"/>
    <w:rsid w:val="00534DFE"/>
    <w:rsid w:val="00593235"/>
    <w:rsid w:val="005D69CB"/>
    <w:rsid w:val="00612FEA"/>
    <w:rsid w:val="00642025"/>
    <w:rsid w:val="006532AC"/>
    <w:rsid w:val="006663ED"/>
    <w:rsid w:val="00681B64"/>
    <w:rsid w:val="007052C5"/>
    <w:rsid w:val="007219CE"/>
    <w:rsid w:val="007C5C0F"/>
    <w:rsid w:val="007F5392"/>
    <w:rsid w:val="00841E85"/>
    <w:rsid w:val="008B51F6"/>
    <w:rsid w:val="008B6817"/>
    <w:rsid w:val="008F69E6"/>
    <w:rsid w:val="008F7268"/>
    <w:rsid w:val="00906895"/>
    <w:rsid w:val="009154B2"/>
    <w:rsid w:val="0093631A"/>
    <w:rsid w:val="00955FB1"/>
    <w:rsid w:val="009658A4"/>
    <w:rsid w:val="009661B3"/>
    <w:rsid w:val="00974E08"/>
    <w:rsid w:val="009954B9"/>
    <w:rsid w:val="009B1ACB"/>
    <w:rsid w:val="00A6207B"/>
    <w:rsid w:val="00A97C91"/>
    <w:rsid w:val="00B104CD"/>
    <w:rsid w:val="00B81B1E"/>
    <w:rsid w:val="00C35B04"/>
    <w:rsid w:val="00C42DA7"/>
    <w:rsid w:val="00C62AD9"/>
    <w:rsid w:val="00D26CEE"/>
    <w:rsid w:val="00D57C7D"/>
    <w:rsid w:val="00D61F7C"/>
    <w:rsid w:val="00DA3F7B"/>
    <w:rsid w:val="00E2281F"/>
    <w:rsid w:val="00E32B4C"/>
    <w:rsid w:val="00E647D1"/>
    <w:rsid w:val="00E7118E"/>
    <w:rsid w:val="00E730E1"/>
    <w:rsid w:val="00EF3AA3"/>
    <w:rsid w:val="00F04447"/>
    <w:rsid w:val="00F21A48"/>
    <w:rsid w:val="00F25133"/>
    <w:rsid w:val="00F41677"/>
    <w:rsid w:val="00F41716"/>
    <w:rsid w:val="00F51D37"/>
    <w:rsid w:val="00F53F03"/>
    <w:rsid w:val="00F90600"/>
    <w:rsid w:val="00FB743D"/>
    <w:rsid w:val="00FC598F"/>
    <w:rsid w:val="00FC7D02"/>
    <w:rsid w:val="00FE4F71"/>
    <w:rsid w:val="00FF21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FAE971"/>
  <w15:chartTrackingRefBased/>
  <w15:docId w15:val="{B44C10C1-F16B-4609-85AF-55C66D2F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C5"/>
    <w:pPr>
      <w:spacing w:after="160" w:line="259" w:lineRule="auto"/>
    </w:pPr>
    <w:rPr>
      <w:rFonts w:ascii="Arial" w:eastAsiaTheme="minorHAnsi" w:hAnsi="Arial" w:cstheme="minorBidi"/>
      <w:sz w:val="21"/>
      <w:szCs w:val="22"/>
      <w:lang w:eastAsia="en-US"/>
    </w:rPr>
  </w:style>
  <w:style w:type="paragraph" w:styleId="Titre1">
    <w:name w:val="heading 1"/>
    <w:basedOn w:val="Normal"/>
    <w:next w:val="Normal"/>
    <w:autoRedefine/>
    <w:qFormat/>
    <w:pPr>
      <w:keepNext/>
      <w:numPr>
        <w:numId w:val="3"/>
      </w:numPr>
      <w:pBdr>
        <w:top w:val="single" w:sz="18" w:space="1" w:color="auto"/>
        <w:bottom w:val="single" w:sz="18" w:space="1" w:color="auto"/>
      </w:pBdr>
      <w:tabs>
        <w:tab w:val="clear" w:pos="432"/>
      </w:tabs>
      <w:spacing w:before="360" w:after="240" w:line="280" w:lineRule="atLeast"/>
      <w:ind w:left="431" w:hanging="431"/>
      <w:outlineLvl w:val="0"/>
    </w:pPr>
    <w:rPr>
      <w:rFonts w:ascii="TriplexBold" w:hAnsi="TriplexBold" w:cs="Arial"/>
      <w:b/>
      <w:bCs/>
      <w:kern w:val="32"/>
      <w:sz w:val="36"/>
      <w:szCs w:val="32"/>
    </w:rPr>
  </w:style>
  <w:style w:type="paragraph" w:styleId="Titre2">
    <w:name w:val="heading 2"/>
    <w:basedOn w:val="Normal"/>
    <w:next w:val="Normal"/>
    <w:autoRedefine/>
    <w:qFormat/>
    <w:pPr>
      <w:keepNext/>
      <w:numPr>
        <w:ilvl w:val="1"/>
        <w:numId w:val="4"/>
      </w:numPr>
      <w:shd w:val="clear" w:color="auto" w:fill="000000"/>
      <w:tabs>
        <w:tab w:val="clear" w:pos="576"/>
        <w:tab w:val="left" w:pos="431"/>
      </w:tabs>
      <w:spacing w:before="240"/>
      <w:ind w:left="431" w:hanging="431"/>
      <w:outlineLvl w:val="1"/>
    </w:pPr>
    <w:rPr>
      <w:rFonts w:ascii="TriplexBold" w:hAnsi="TriplexBold" w:cs="Arial"/>
      <w:b/>
      <w:bCs/>
      <w:iCs/>
      <w:sz w:val="32"/>
      <w:szCs w:val="28"/>
    </w:rPr>
  </w:style>
  <w:style w:type="paragraph" w:styleId="Titre3">
    <w:name w:val="heading 3"/>
    <w:basedOn w:val="Normal"/>
    <w:next w:val="Normal"/>
    <w:autoRedefine/>
    <w:qFormat/>
    <w:pPr>
      <w:keepNext/>
      <w:numPr>
        <w:ilvl w:val="2"/>
        <w:numId w:val="5"/>
      </w:numPr>
      <w:pBdr>
        <w:bottom w:val="single" w:sz="8" w:space="1" w:color="auto"/>
      </w:pBdr>
      <w:spacing w:before="240"/>
      <w:ind w:left="947"/>
      <w:outlineLvl w:val="2"/>
    </w:pPr>
    <w:rPr>
      <w:rFonts w:cs="Arial"/>
      <w:b/>
      <w:bCs/>
      <w:sz w:val="26"/>
      <w:szCs w:val="26"/>
    </w:rPr>
  </w:style>
  <w:style w:type="paragraph" w:styleId="Titre4">
    <w:name w:val="heading 4"/>
    <w:basedOn w:val="Normal"/>
    <w:next w:val="Normal"/>
    <w:autoRedefine/>
    <w:qFormat/>
    <w:pPr>
      <w:keepNext/>
      <w:numPr>
        <w:ilvl w:val="3"/>
        <w:numId w:val="6"/>
      </w:numPr>
      <w:spacing w:before="60" w:after="60" w:line="280" w:lineRule="atLeast"/>
      <w:ind w:left="1089" w:hanging="862"/>
      <w:outlineLvl w:val="3"/>
    </w:pPr>
    <w:rPr>
      <w:bCs/>
      <w:i/>
      <w:sz w:val="24"/>
      <w:szCs w:val="28"/>
    </w:rPr>
  </w:style>
  <w:style w:type="paragraph" w:styleId="Titre5">
    <w:name w:val="heading 5"/>
    <w:basedOn w:val="Normal"/>
    <w:next w:val="Normal"/>
    <w:autoRedefine/>
    <w:qFormat/>
    <w:pPr>
      <w:numPr>
        <w:ilvl w:val="4"/>
        <w:numId w:val="7"/>
      </w:numPr>
      <w:spacing w:before="60" w:after="60" w:line="280" w:lineRule="atLeast"/>
      <w:ind w:left="1236" w:hanging="1009"/>
      <w:outlineLvl w:val="4"/>
    </w:pPr>
    <w:rPr>
      <w:bCs/>
      <w:iCs/>
      <w:sz w:val="24"/>
      <w:szCs w:val="26"/>
    </w:rPr>
  </w:style>
  <w:style w:type="paragraph" w:styleId="Titre6">
    <w:name w:val="heading 6"/>
    <w:basedOn w:val="Normal"/>
    <w:next w:val="Normal"/>
    <w:autoRedefine/>
    <w:qFormat/>
    <w:pPr>
      <w:numPr>
        <w:ilvl w:val="5"/>
        <w:numId w:val="8"/>
      </w:numPr>
      <w:spacing w:before="60" w:after="60" w:line="280" w:lineRule="atLeast"/>
      <w:ind w:left="1378" w:hanging="1151"/>
      <w:outlineLvl w:val="5"/>
    </w:pPr>
    <w:rPr>
      <w:bCs/>
    </w:rPr>
  </w:style>
  <w:style w:type="paragraph" w:styleId="Titre7">
    <w:name w:val="heading 7"/>
    <w:basedOn w:val="Normal"/>
    <w:next w:val="Normal"/>
    <w:autoRedefine/>
    <w:qFormat/>
    <w:pPr>
      <w:numPr>
        <w:ilvl w:val="6"/>
        <w:numId w:val="9"/>
      </w:numPr>
      <w:spacing w:before="60" w:after="60" w:line="280" w:lineRule="atLeast"/>
      <w:ind w:left="1525" w:hanging="1298"/>
      <w:outlineLvl w:val="6"/>
    </w:pPr>
  </w:style>
  <w:style w:type="paragraph" w:styleId="Titre8">
    <w:name w:val="heading 8"/>
    <w:basedOn w:val="Normal"/>
    <w:next w:val="Normal"/>
    <w:autoRedefine/>
    <w:qFormat/>
    <w:pPr>
      <w:numPr>
        <w:ilvl w:val="7"/>
        <w:numId w:val="10"/>
      </w:numPr>
      <w:spacing w:before="60" w:after="60" w:line="280" w:lineRule="atLeast"/>
      <w:ind w:left="1667"/>
      <w:outlineLvl w:val="7"/>
    </w:pPr>
    <w:rPr>
      <w:iCs/>
    </w:rPr>
  </w:style>
  <w:style w:type="paragraph" w:styleId="Titre9">
    <w:name w:val="heading 9"/>
    <w:basedOn w:val="Normal"/>
    <w:next w:val="Normal"/>
    <w:autoRedefine/>
    <w:qFormat/>
    <w:pPr>
      <w:numPr>
        <w:ilvl w:val="8"/>
        <w:numId w:val="11"/>
      </w:numPr>
      <w:spacing w:before="60" w:after="60" w:line="280" w:lineRule="atLeast"/>
      <w:ind w:left="1809" w:hanging="1582"/>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semiHidden/>
    <w:pPr>
      <w:tabs>
        <w:tab w:val="left" w:pos="880"/>
        <w:tab w:val="right" w:leader="dot" w:pos="9628"/>
      </w:tabs>
      <w:spacing w:before="120" w:line="280" w:lineRule="atLeast"/>
      <w:ind w:left="221"/>
    </w:pPr>
    <w:rPr>
      <w:b/>
      <w:noProof/>
      <w:szCs w:val="32"/>
    </w:rPr>
  </w:style>
  <w:style w:type="paragraph" w:styleId="TM1">
    <w:name w:val="toc 1"/>
    <w:basedOn w:val="Normal"/>
    <w:next w:val="Normal"/>
    <w:autoRedefine/>
    <w:semiHidden/>
    <w:pPr>
      <w:pBdr>
        <w:bottom w:val="single" w:sz="8" w:space="1" w:color="auto"/>
      </w:pBdr>
      <w:tabs>
        <w:tab w:val="left" w:pos="442"/>
        <w:tab w:val="right" w:leader="dot" w:pos="9628"/>
      </w:tabs>
      <w:spacing w:before="240" w:line="280" w:lineRule="atLeast"/>
    </w:pPr>
    <w:rPr>
      <w:b/>
      <w:noProof/>
      <w:szCs w:val="28"/>
    </w:rPr>
  </w:style>
  <w:style w:type="paragraph" w:styleId="TM3">
    <w:name w:val="toc 3"/>
    <w:basedOn w:val="Normal"/>
    <w:next w:val="Normal"/>
    <w:autoRedefine/>
    <w:semiHidden/>
    <w:pPr>
      <w:spacing w:after="0" w:line="280" w:lineRule="atLeast"/>
      <w:ind w:left="442"/>
    </w:pPr>
  </w:style>
  <w:style w:type="paragraph" w:styleId="TM4">
    <w:name w:val="toc 4"/>
    <w:basedOn w:val="Normal"/>
    <w:next w:val="Normal"/>
    <w:autoRedefine/>
    <w:semiHidden/>
    <w:pPr>
      <w:spacing w:line="280" w:lineRule="atLeast"/>
      <w:ind w:left="660"/>
    </w:pPr>
  </w:style>
  <w:style w:type="paragraph" w:styleId="TM5">
    <w:name w:val="toc 5"/>
    <w:basedOn w:val="Normal"/>
    <w:next w:val="Normal"/>
    <w:autoRedefine/>
    <w:semiHidden/>
    <w:pPr>
      <w:spacing w:line="280" w:lineRule="atLeast"/>
      <w:ind w:left="880"/>
    </w:pPr>
  </w:style>
  <w:style w:type="paragraph" w:styleId="TM6">
    <w:name w:val="toc 6"/>
    <w:basedOn w:val="Normal"/>
    <w:next w:val="Normal"/>
    <w:autoRedefine/>
    <w:semiHidden/>
    <w:pPr>
      <w:spacing w:line="280" w:lineRule="atLeast"/>
      <w:ind w:left="1100"/>
    </w:pPr>
  </w:style>
  <w:style w:type="paragraph" w:styleId="TM7">
    <w:name w:val="toc 7"/>
    <w:basedOn w:val="Normal"/>
    <w:next w:val="Normal"/>
    <w:autoRedefine/>
    <w:semiHidden/>
    <w:pPr>
      <w:spacing w:line="280" w:lineRule="atLeast"/>
      <w:ind w:left="1320"/>
    </w:pPr>
  </w:style>
  <w:style w:type="paragraph" w:styleId="TM8">
    <w:name w:val="toc 8"/>
    <w:basedOn w:val="Normal"/>
    <w:next w:val="Normal"/>
    <w:autoRedefine/>
    <w:semiHidden/>
    <w:pPr>
      <w:spacing w:line="280" w:lineRule="atLeast"/>
      <w:ind w:left="1540"/>
    </w:pPr>
  </w:style>
  <w:style w:type="paragraph" w:styleId="TM9">
    <w:name w:val="toc 9"/>
    <w:basedOn w:val="Normal"/>
    <w:next w:val="Normal"/>
    <w:autoRedefine/>
    <w:semiHidden/>
    <w:pPr>
      <w:spacing w:line="280" w:lineRule="atLeast"/>
      <w:ind w:left="1760"/>
    </w:pPr>
  </w:style>
  <w:style w:type="character" w:styleId="Lienhypertexte">
    <w:name w:val="Hyperlink"/>
    <w:basedOn w:val="Policepardfaut"/>
    <w:semiHidden/>
    <w:rPr>
      <w:color w:val="0000FF"/>
      <w:u w:val="single"/>
    </w:rPr>
  </w:style>
  <w:style w:type="paragraph" w:styleId="En-tte">
    <w:name w:val="header"/>
    <w:basedOn w:val="Normal"/>
    <w:link w:val="En-tteCar"/>
    <w:uiPriority w:val="99"/>
    <w:pPr>
      <w:tabs>
        <w:tab w:val="center" w:pos="4536"/>
        <w:tab w:val="right" w:pos="9072"/>
      </w:tabs>
    </w:pPr>
  </w:style>
  <w:style w:type="paragraph" w:styleId="Listepuces">
    <w:name w:val="List Bullet"/>
    <w:basedOn w:val="Normal"/>
    <w:autoRedefine/>
    <w:semiHidden/>
    <w:pPr>
      <w:numPr>
        <w:numId w:val="2"/>
      </w:numPr>
    </w:pPr>
  </w:style>
  <w:style w:type="paragraph" w:styleId="Pieddepage">
    <w:name w:val="footer"/>
    <w:basedOn w:val="Normal"/>
    <w:link w:val="PieddepageCar"/>
    <w:uiPriority w:val="99"/>
    <w:pPr>
      <w:tabs>
        <w:tab w:val="center" w:pos="4536"/>
        <w:tab w:val="right" w:pos="9072"/>
      </w:tabs>
    </w:pPr>
  </w:style>
  <w:style w:type="paragraph" w:styleId="Citationintense">
    <w:name w:val="Intense Quote"/>
    <w:basedOn w:val="Normal"/>
    <w:next w:val="Normal"/>
    <w:link w:val="CitationintenseCar"/>
    <w:uiPriority w:val="30"/>
    <w:qFormat/>
    <w:rsid w:val="007052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7052C5"/>
    <w:rPr>
      <w:rFonts w:ascii="Arial" w:eastAsiaTheme="minorHAnsi" w:hAnsi="Arial" w:cstheme="minorBidi"/>
      <w:i/>
      <w:iCs/>
      <w:color w:val="5B9BD5" w:themeColor="accent1"/>
      <w:sz w:val="21"/>
      <w:szCs w:val="22"/>
      <w:lang w:eastAsia="en-US"/>
    </w:rPr>
  </w:style>
  <w:style w:type="paragraph" w:styleId="Paragraphedeliste">
    <w:name w:val="List Paragraph"/>
    <w:basedOn w:val="Normal"/>
    <w:uiPriority w:val="1"/>
    <w:qFormat/>
    <w:rsid w:val="007052C5"/>
    <w:pPr>
      <w:ind w:left="720"/>
      <w:contextualSpacing/>
    </w:pPr>
  </w:style>
  <w:style w:type="paragraph" w:styleId="Corpsdetexte">
    <w:name w:val="Body Text"/>
    <w:basedOn w:val="Normal"/>
    <w:link w:val="CorpsdetexteCar"/>
    <w:uiPriority w:val="1"/>
    <w:qFormat/>
    <w:rsid w:val="007052C5"/>
    <w:pPr>
      <w:widowControl w:val="0"/>
      <w:spacing w:before="56" w:after="0" w:line="240" w:lineRule="auto"/>
      <w:ind w:left="633"/>
    </w:pPr>
    <w:rPr>
      <w:rFonts w:ascii="Frutiger 57 Condensed" w:eastAsia="Frutiger 57 Condensed" w:hAnsi="Frutiger 57 Condensed"/>
      <w:sz w:val="22"/>
      <w:lang w:val="en-US"/>
    </w:rPr>
  </w:style>
  <w:style w:type="character" w:customStyle="1" w:styleId="CorpsdetexteCar">
    <w:name w:val="Corps de texte Car"/>
    <w:basedOn w:val="Policepardfaut"/>
    <w:link w:val="Corpsdetexte"/>
    <w:uiPriority w:val="1"/>
    <w:rsid w:val="007052C5"/>
    <w:rPr>
      <w:rFonts w:ascii="Frutiger 57 Condensed" w:eastAsia="Frutiger 57 Condensed" w:hAnsi="Frutiger 57 Condensed" w:cstheme="minorBidi"/>
      <w:sz w:val="22"/>
      <w:szCs w:val="22"/>
      <w:lang w:val="en-US" w:eastAsia="en-US"/>
    </w:rPr>
  </w:style>
  <w:style w:type="paragraph" w:customStyle="1" w:styleId="Texteprformat">
    <w:name w:val="Texte préformaté"/>
    <w:basedOn w:val="Normal"/>
    <w:rsid w:val="007052C5"/>
    <w:pPr>
      <w:suppressAutoHyphens/>
      <w:spacing w:after="200" w:line="276" w:lineRule="auto"/>
    </w:pPr>
    <w:rPr>
      <w:rFonts w:ascii="Calibri" w:eastAsia="SimSun" w:hAnsi="Calibri" w:cs="Calibri"/>
      <w:color w:val="00000A"/>
      <w:sz w:val="22"/>
    </w:rPr>
  </w:style>
  <w:style w:type="character" w:styleId="Lienhypertextesuivivisit">
    <w:name w:val="FollowedHyperlink"/>
    <w:basedOn w:val="Policepardfaut"/>
    <w:uiPriority w:val="99"/>
    <w:semiHidden/>
    <w:unhideWhenUsed/>
    <w:rsid w:val="00A97C91"/>
    <w:rPr>
      <w:color w:val="954F72" w:themeColor="followedHyperlink"/>
      <w:u w:val="single"/>
    </w:rPr>
  </w:style>
  <w:style w:type="table" w:styleId="Grilledutableau">
    <w:name w:val="Table Grid"/>
    <w:basedOn w:val="TableauNormal"/>
    <w:uiPriority w:val="39"/>
    <w:rsid w:val="00A97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417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1716"/>
    <w:rPr>
      <w:rFonts w:ascii="Segoe UI" w:eastAsiaTheme="minorHAnsi" w:hAnsi="Segoe UI" w:cs="Segoe UI"/>
      <w:sz w:val="18"/>
      <w:szCs w:val="18"/>
      <w:lang w:eastAsia="en-US"/>
    </w:rPr>
  </w:style>
  <w:style w:type="character" w:styleId="Marquedecommentaire">
    <w:name w:val="annotation reference"/>
    <w:basedOn w:val="Policepardfaut"/>
    <w:uiPriority w:val="99"/>
    <w:semiHidden/>
    <w:unhideWhenUsed/>
    <w:rsid w:val="001A334A"/>
    <w:rPr>
      <w:sz w:val="16"/>
      <w:szCs w:val="16"/>
    </w:rPr>
  </w:style>
  <w:style w:type="paragraph" w:styleId="Commentaire">
    <w:name w:val="annotation text"/>
    <w:basedOn w:val="Normal"/>
    <w:link w:val="CommentaireCar"/>
    <w:uiPriority w:val="99"/>
    <w:semiHidden/>
    <w:unhideWhenUsed/>
    <w:rsid w:val="001A334A"/>
    <w:pPr>
      <w:spacing w:line="240" w:lineRule="auto"/>
    </w:pPr>
    <w:rPr>
      <w:sz w:val="20"/>
      <w:szCs w:val="20"/>
    </w:rPr>
  </w:style>
  <w:style w:type="character" w:customStyle="1" w:styleId="CommentaireCar">
    <w:name w:val="Commentaire Car"/>
    <w:basedOn w:val="Policepardfaut"/>
    <w:link w:val="Commentaire"/>
    <w:uiPriority w:val="99"/>
    <w:semiHidden/>
    <w:rsid w:val="001A334A"/>
    <w:rPr>
      <w:rFonts w:ascii="Arial" w:eastAsiaTheme="minorHAnsi" w:hAnsi="Arial" w:cstheme="minorBidi"/>
      <w:lang w:eastAsia="en-US"/>
    </w:rPr>
  </w:style>
  <w:style w:type="paragraph" w:styleId="Objetducommentaire">
    <w:name w:val="annotation subject"/>
    <w:basedOn w:val="Commentaire"/>
    <w:next w:val="Commentaire"/>
    <w:link w:val="ObjetducommentaireCar"/>
    <w:uiPriority w:val="99"/>
    <w:semiHidden/>
    <w:unhideWhenUsed/>
    <w:rsid w:val="001A334A"/>
    <w:rPr>
      <w:b/>
      <w:bCs/>
    </w:rPr>
  </w:style>
  <w:style w:type="character" w:customStyle="1" w:styleId="ObjetducommentaireCar">
    <w:name w:val="Objet du commentaire Car"/>
    <w:basedOn w:val="CommentaireCar"/>
    <w:link w:val="Objetducommentaire"/>
    <w:uiPriority w:val="99"/>
    <w:semiHidden/>
    <w:rsid w:val="001A334A"/>
    <w:rPr>
      <w:rFonts w:ascii="Arial" w:eastAsiaTheme="minorHAnsi" w:hAnsi="Arial" w:cstheme="minorBidi"/>
      <w:b/>
      <w:bCs/>
      <w:lang w:eastAsia="en-US"/>
    </w:rPr>
  </w:style>
  <w:style w:type="paragraph" w:customStyle="1" w:styleId="Default">
    <w:name w:val="Default"/>
    <w:rsid w:val="00F41677"/>
    <w:pPr>
      <w:autoSpaceDE w:val="0"/>
      <w:autoSpaceDN w:val="0"/>
      <w:adjustRightInd w:val="0"/>
    </w:pPr>
    <w:rPr>
      <w:rFonts w:ascii="PBPCF O+ Frutiger" w:hAnsi="PBPCF O+ Frutiger" w:cs="PBPCF O+ Frutiger"/>
      <w:color w:val="000000"/>
      <w:sz w:val="24"/>
      <w:szCs w:val="24"/>
    </w:rPr>
  </w:style>
  <w:style w:type="character" w:customStyle="1" w:styleId="A9">
    <w:name w:val="A9"/>
    <w:uiPriority w:val="99"/>
    <w:rsid w:val="00F41677"/>
    <w:rPr>
      <w:rFonts w:cs="PBPCF O+ Frutiger"/>
      <w:color w:val="000000"/>
    </w:rPr>
  </w:style>
  <w:style w:type="paragraph" w:customStyle="1" w:styleId="Pa10">
    <w:name w:val="Pa10"/>
    <w:basedOn w:val="Default"/>
    <w:next w:val="Default"/>
    <w:uiPriority w:val="99"/>
    <w:rsid w:val="00F51D37"/>
    <w:pPr>
      <w:spacing w:line="221" w:lineRule="atLeast"/>
    </w:pPr>
    <w:rPr>
      <w:rFonts w:ascii="Frutiger 57 Condensed" w:hAnsi="Frutiger 57 Condensed" w:cs="Times New Roman"/>
      <w:color w:val="auto"/>
    </w:rPr>
  </w:style>
  <w:style w:type="character" w:customStyle="1" w:styleId="En-tteCar">
    <w:name w:val="En-tête Car"/>
    <w:basedOn w:val="Policepardfaut"/>
    <w:link w:val="En-tte"/>
    <w:uiPriority w:val="99"/>
    <w:rsid w:val="00C35B04"/>
    <w:rPr>
      <w:rFonts w:ascii="Arial" w:eastAsiaTheme="minorHAnsi" w:hAnsi="Arial" w:cstheme="minorBidi"/>
      <w:sz w:val="21"/>
      <w:szCs w:val="22"/>
      <w:lang w:eastAsia="en-US"/>
    </w:rPr>
  </w:style>
  <w:style w:type="character" w:customStyle="1" w:styleId="PieddepageCar">
    <w:name w:val="Pied de page Car"/>
    <w:basedOn w:val="Policepardfaut"/>
    <w:link w:val="Pieddepage"/>
    <w:uiPriority w:val="99"/>
    <w:rsid w:val="00C35B04"/>
    <w:rPr>
      <w:rFonts w:ascii="Arial" w:eastAsiaTheme="minorHAnsi" w:hAnsi="Arial" w:cstheme="minorBid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44416551&amp;idArticle=LEGIARTI000044420587&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C439-0ADD-45D8-AA69-BDB0F571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4536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cdg69</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FRIZOT Manon</dc:creator>
  <cp:keywords/>
  <dc:description/>
  <cp:lastModifiedBy>PFEIFFER Delphine</cp:lastModifiedBy>
  <cp:revision>2</cp:revision>
  <dcterms:created xsi:type="dcterms:W3CDTF">2023-11-10T12:40:00Z</dcterms:created>
  <dcterms:modified xsi:type="dcterms:W3CDTF">2023-11-10T12:40:00Z</dcterms:modified>
</cp:coreProperties>
</file>