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8921" w14:textId="1F92C4E2" w:rsidR="00255C0D" w:rsidRPr="00977183" w:rsidRDefault="00255C0D" w:rsidP="00255C0D">
      <w:pPr>
        <w:pStyle w:val="Titre"/>
        <w:pBdr>
          <w:top w:val="single" w:sz="4" w:space="1" w:color="auto"/>
          <w:left w:val="single" w:sz="4" w:space="4" w:color="auto"/>
          <w:bottom w:val="single" w:sz="4" w:space="1" w:color="auto"/>
          <w:right w:val="single" w:sz="4" w:space="4" w:color="auto"/>
        </w:pBdr>
        <w:spacing w:after="240"/>
        <w:rPr>
          <w:rFonts w:cs="Arial"/>
          <w:sz w:val="20"/>
          <w:szCs w:val="20"/>
        </w:rPr>
      </w:pPr>
      <w:r w:rsidRPr="00977183">
        <w:rPr>
          <w:rFonts w:cs="Arial"/>
          <w:sz w:val="20"/>
          <w:szCs w:val="20"/>
        </w:rPr>
        <w:t>PROJET DE D</w:t>
      </w:r>
      <w:r w:rsidR="00FE6385">
        <w:rPr>
          <w:rFonts w:cs="Arial"/>
          <w:sz w:val="20"/>
          <w:szCs w:val="20"/>
        </w:rPr>
        <w:t>É</w:t>
      </w:r>
      <w:r w:rsidRPr="00977183">
        <w:rPr>
          <w:rFonts w:cs="Arial"/>
          <w:sz w:val="20"/>
          <w:szCs w:val="20"/>
        </w:rPr>
        <w:t xml:space="preserve">LIBERATION D’ADHESION </w:t>
      </w:r>
    </w:p>
    <w:p w14:paraId="20BCB2B2" w14:textId="77777777" w:rsidR="00255C0D" w:rsidRPr="00977183" w:rsidRDefault="00255C0D" w:rsidP="00255C0D">
      <w:pPr>
        <w:pStyle w:val="Titre"/>
        <w:pBdr>
          <w:top w:val="single" w:sz="4" w:space="1" w:color="auto"/>
          <w:left w:val="single" w:sz="4" w:space="4" w:color="auto"/>
          <w:bottom w:val="single" w:sz="4" w:space="1" w:color="auto"/>
          <w:right w:val="single" w:sz="4" w:space="4" w:color="auto"/>
        </w:pBdr>
        <w:spacing w:after="240"/>
        <w:rPr>
          <w:rFonts w:cs="Arial"/>
          <w:sz w:val="20"/>
          <w:szCs w:val="20"/>
        </w:rPr>
      </w:pPr>
      <w:r w:rsidRPr="00977183">
        <w:rPr>
          <w:rFonts w:cs="Arial"/>
          <w:sz w:val="20"/>
          <w:szCs w:val="20"/>
        </w:rPr>
        <w:t>AU CONTRAT GROUPE D’ASSURANCE DES RISQUES STATUTAIRES DU CDG38</w:t>
      </w:r>
    </w:p>
    <w:p w14:paraId="02202C50" w14:textId="77777777" w:rsidR="00255C0D" w:rsidRPr="00977183" w:rsidRDefault="00255C0D" w:rsidP="00255C0D">
      <w:pPr>
        <w:spacing w:before="240" w:after="240"/>
        <w:jc w:val="both"/>
        <w:rPr>
          <w:rFonts w:cs="Arial"/>
          <w:b/>
          <w:bCs/>
          <w:sz w:val="20"/>
          <w:szCs w:val="20"/>
        </w:rPr>
      </w:pPr>
      <w:r w:rsidRPr="00977183">
        <w:rPr>
          <w:rFonts w:cs="Arial"/>
          <w:b/>
          <w:bCs/>
          <w:sz w:val="20"/>
          <w:szCs w:val="20"/>
        </w:rPr>
        <w:t>Le Maire expose :</w:t>
      </w:r>
    </w:p>
    <w:p w14:paraId="27509DC7" w14:textId="77777777" w:rsidR="00255C0D" w:rsidRPr="00977183" w:rsidRDefault="00255C0D" w:rsidP="00255C0D">
      <w:pPr>
        <w:spacing w:before="240" w:after="240"/>
        <w:jc w:val="both"/>
        <w:rPr>
          <w:rFonts w:cs="Arial"/>
          <w:sz w:val="20"/>
          <w:szCs w:val="20"/>
        </w:rPr>
      </w:pPr>
      <w:r w:rsidRPr="00977183">
        <w:rPr>
          <w:rFonts w:cs="Arial"/>
          <w:sz w:val="20"/>
          <w:szCs w:val="20"/>
        </w:rPr>
        <w:t>Vu le code général des collectivités territoriales ;</w:t>
      </w:r>
    </w:p>
    <w:p w14:paraId="5AC1B548" w14:textId="77777777" w:rsidR="00255C0D" w:rsidRPr="00977183" w:rsidRDefault="00255C0D" w:rsidP="00255C0D">
      <w:pPr>
        <w:spacing w:before="240" w:after="240"/>
        <w:jc w:val="both"/>
        <w:rPr>
          <w:rFonts w:cs="Arial"/>
          <w:sz w:val="20"/>
          <w:szCs w:val="20"/>
        </w:rPr>
      </w:pPr>
      <w:r w:rsidRPr="00977183">
        <w:rPr>
          <w:rFonts w:cs="Arial"/>
          <w:sz w:val="20"/>
          <w:szCs w:val="20"/>
        </w:rPr>
        <w:t>Vu le code des assurances ;</w:t>
      </w:r>
    </w:p>
    <w:p w14:paraId="545481C4" w14:textId="77777777" w:rsidR="00255C0D" w:rsidRPr="00977183" w:rsidRDefault="00255C0D" w:rsidP="00255C0D">
      <w:pPr>
        <w:spacing w:before="240" w:after="240"/>
        <w:jc w:val="both"/>
        <w:rPr>
          <w:rFonts w:cs="Arial"/>
          <w:sz w:val="20"/>
          <w:szCs w:val="20"/>
        </w:rPr>
      </w:pPr>
      <w:r w:rsidRPr="00977183">
        <w:rPr>
          <w:rFonts w:cs="Arial"/>
          <w:sz w:val="20"/>
          <w:szCs w:val="20"/>
        </w:rPr>
        <w:t>Vu la loi n°84.53 du 26 janvier 1984 portant dispositions statutaires relatives à la Fonction Publique Territoriale, notamment l’article 26 ;</w:t>
      </w:r>
    </w:p>
    <w:p w14:paraId="49032AA6" w14:textId="77777777" w:rsidR="00255C0D" w:rsidRPr="00977183" w:rsidRDefault="00255C0D" w:rsidP="00255C0D">
      <w:pPr>
        <w:spacing w:before="240" w:after="240"/>
        <w:jc w:val="both"/>
        <w:rPr>
          <w:rFonts w:cs="Arial"/>
          <w:sz w:val="20"/>
          <w:szCs w:val="20"/>
        </w:rPr>
      </w:pPr>
      <w:r w:rsidRPr="00977183">
        <w:rPr>
          <w:rFonts w:cs="Arial"/>
          <w:sz w:val="20"/>
          <w:szCs w:val="20"/>
        </w:rPr>
        <w:t>Vu le Décret n°86.552 du 14 mars 1986 pris pour l’application de l’article 26 (alinéa 2) de la Loi 84.53 du 26 janvier 1984 et relatif aux contrats d’assurances souscrits par les Centres de gestion pour le compte des collectivités locales et établissement territoriaux ;</w:t>
      </w:r>
    </w:p>
    <w:p w14:paraId="0F5FBA72" w14:textId="77777777" w:rsidR="00255C0D" w:rsidRPr="00977183" w:rsidRDefault="00255C0D" w:rsidP="00255C0D">
      <w:pPr>
        <w:spacing w:before="240" w:after="240"/>
        <w:jc w:val="both"/>
        <w:rPr>
          <w:rFonts w:cs="Arial"/>
          <w:sz w:val="20"/>
          <w:szCs w:val="20"/>
        </w:rPr>
      </w:pPr>
      <w:r w:rsidRPr="00977183">
        <w:rPr>
          <w:rFonts w:cs="Arial"/>
          <w:sz w:val="20"/>
          <w:szCs w:val="20"/>
        </w:rPr>
        <w:t xml:space="preserve">Vu la délibération du Conseil d’Administration du CDG38 en date du 9 juin 2015 approuvant les </w:t>
      </w:r>
      <w:r w:rsidRPr="00977183">
        <w:rPr>
          <w:rFonts w:cs="Arial"/>
          <w:bCs/>
          <w:sz w:val="20"/>
          <w:szCs w:val="20"/>
        </w:rPr>
        <w:t xml:space="preserve">modalités de rémunération du CDG38 pour la mission </w:t>
      </w:r>
      <w:r w:rsidR="00A15DD8">
        <w:rPr>
          <w:rFonts w:cs="Arial"/>
          <w:bCs/>
          <w:sz w:val="20"/>
          <w:szCs w:val="20"/>
        </w:rPr>
        <w:t xml:space="preserve">de </w:t>
      </w:r>
      <w:r w:rsidRPr="00977183">
        <w:rPr>
          <w:rFonts w:cs="Arial"/>
          <w:bCs/>
          <w:sz w:val="20"/>
          <w:szCs w:val="20"/>
        </w:rPr>
        <w:t>passation et gestion du contrat groupe d’assurance statutaire ;</w:t>
      </w:r>
    </w:p>
    <w:p w14:paraId="66806993" w14:textId="6798AAB7" w:rsidR="00255C0D" w:rsidRDefault="00255C0D" w:rsidP="00255C0D">
      <w:pPr>
        <w:spacing w:before="240" w:after="240"/>
        <w:jc w:val="both"/>
        <w:rPr>
          <w:rFonts w:cs="Arial"/>
          <w:sz w:val="20"/>
          <w:szCs w:val="20"/>
        </w:rPr>
      </w:pPr>
      <w:r>
        <w:rPr>
          <w:rFonts w:cs="Arial"/>
          <w:sz w:val="20"/>
          <w:szCs w:val="20"/>
        </w:rPr>
        <w:t>Vu la décision d’attribution de la commission d’</w:t>
      </w:r>
      <w:r w:rsidR="00A15DD8">
        <w:rPr>
          <w:rFonts w:cs="Arial"/>
          <w:sz w:val="20"/>
          <w:szCs w:val="20"/>
        </w:rPr>
        <w:t>analyse des offres du CDG</w:t>
      </w:r>
      <w:r>
        <w:rPr>
          <w:rFonts w:cs="Arial"/>
          <w:sz w:val="20"/>
          <w:szCs w:val="20"/>
        </w:rPr>
        <w:t xml:space="preserve">38 en date du </w:t>
      </w:r>
      <w:r w:rsidR="00FE6385">
        <w:rPr>
          <w:rFonts w:cs="Arial"/>
          <w:sz w:val="20"/>
          <w:szCs w:val="20"/>
        </w:rPr>
        <w:t>13</w:t>
      </w:r>
      <w:r>
        <w:rPr>
          <w:rFonts w:cs="Arial"/>
          <w:sz w:val="20"/>
          <w:szCs w:val="20"/>
        </w:rPr>
        <w:t xml:space="preserve"> </w:t>
      </w:r>
      <w:r w:rsidR="00FE6385">
        <w:rPr>
          <w:rFonts w:cs="Arial"/>
          <w:sz w:val="20"/>
          <w:szCs w:val="20"/>
        </w:rPr>
        <w:t>décembre</w:t>
      </w:r>
      <w:r>
        <w:rPr>
          <w:rFonts w:cs="Arial"/>
          <w:sz w:val="20"/>
          <w:szCs w:val="20"/>
        </w:rPr>
        <w:t xml:space="preserve"> 20</w:t>
      </w:r>
      <w:r w:rsidR="00FE6385">
        <w:rPr>
          <w:rFonts w:cs="Arial"/>
          <w:sz w:val="20"/>
          <w:szCs w:val="20"/>
        </w:rPr>
        <w:t xml:space="preserve">22 </w:t>
      </w:r>
      <w:r>
        <w:rPr>
          <w:rFonts w:cs="Arial"/>
          <w:sz w:val="20"/>
          <w:szCs w:val="20"/>
        </w:rPr>
        <w:t xml:space="preserve">au groupement </w:t>
      </w:r>
      <w:r w:rsidRPr="008A0AE8">
        <w:rPr>
          <w:rFonts w:cs="Arial"/>
          <w:sz w:val="20"/>
          <w:szCs w:val="20"/>
        </w:rPr>
        <w:t xml:space="preserve">SOFAXIS / </w:t>
      </w:r>
      <w:r w:rsidR="00FE6660">
        <w:rPr>
          <w:rFonts w:cs="Arial"/>
          <w:sz w:val="20"/>
          <w:szCs w:val="20"/>
        </w:rPr>
        <w:t>CNP</w:t>
      </w:r>
      <w:r w:rsidRPr="008A0AE8">
        <w:rPr>
          <w:rFonts w:cs="Arial"/>
          <w:sz w:val="20"/>
          <w:szCs w:val="20"/>
        </w:rPr>
        <w:t xml:space="preserve"> </w:t>
      </w:r>
      <w:r w:rsidR="00F479F4" w:rsidRPr="008A0AE8">
        <w:rPr>
          <w:rFonts w:cs="Arial"/>
          <w:sz w:val="20"/>
          <w:szCs w:val="20"/>
        </w:rPr>
        <w:t>du</w:t>
      </w:r>
      <w:r w:rsidR="00F479F4">
        <w:rPr>
          <w:rFonts w:cs="Arial"/>
          <w:sz w:val="20"/>
          <w:szCs w:val="20"/>
        </w:rPr>
        <w:t xml:space="preserve"> marché relatif à la prestation d’assurance des risques statutaires pour les collectivités et établissements affiliés et non affiliés au Centre de gestion et pour lui-même ; </w:t>
      </w:r>
    </w:p>
    <w:p w14:paraId="3E7C7421" w14:textId="5FEFD764" w:rsidR="00FE6660" w:rsidRPr="00FE6660" w:rsidRDefault="00FE6660" w:rsidP="00FE6660">
      <w:pPr>
        <w:spacing w:before="240" w:after="240"/>
        <w:jc w:val="both"/>
        <w:rPr>
          <w:rFonts w:cs="Arial"/>
          <w:sz w:val="20"/>
          <w:szCs w:val="20"/>
        </w:rPr>
      </w:pPr>
      <w:r>
        <w:rPr>
          <w:rFonts w:cs="Arial"/>
          <w:sz w:val="20"/>
          <w:szCs w:val="20"/>
        </w:rPr>
        <w:t xml:space="preserve">Considérant, </w:t>
      </w:r>
      <w:r w:rsidRPr="00FE6660">
        <w:rPr>
          <w:rFonts w:cs="Arial"/>
          <w:sz w:val="20"/>
          <w:szCs w:val="20"/>
        </w:rPr>
        <w:t xml:space="preserve">la décision unilatérale de </w:t>
      </w:r>
      <w:r>
        <w:rPr>
          <w:rFonts w:cs="Arial"/>
          <w:sz w:val="20"/>
          <w:szCs w:val="20"/>
        </w:rPr>
        <w:t xml:space="preserve">l’assureur précédent </w:t>
      </w:r>
      <w:r w:rsidRPr="00FE6660">
        <w:rPr>
          <w:rFonts w:cs="Arial"/>
          <w:sz w:val="20"/>
          <w:szCs w:val="20"/>
        </w:rPr>
        <w:t>de mettre un terme de manière prématurée au contrat groupe d’assurance statutaire, le CDG38 a été contraint d’organiser sur un calendrier très serré un appel d’offres, afin de proposer une couverture en matière de risques statutaires à compter du 1</w:t>
      </w:r>
      <w:r w:rsidRPr="00FE6660">
        <w:rPr>
          <w:rFonts w:cs="Arial"/>
          <w:sz w:val="20"/>
          <w:szCs w:val="20"/>
          <w:vertAlign w:val="superscript"/>
        </w:rPr>
        <w:t>er</w:t>
      </w:r>
      <w:r w:rsidRPr="00FE6660">
        <w:rPr>
          <w:rFonts w:cs="Arial"/>
          <w:sz w:val="20"/>
          <w:szCs w:val="20"/>
        </w:rPr>
        <w:t xml:space="preserve"> janvier 2023.</w:t>
      </w:r>
    </w:p>
    <w:p w14:paraId="45BB5076" w14:textId="77777777" w:rsidR="00255C0D" w:rsidRPr="00977183" w:rsidRDefault="00255C0D" w:rsidP="00255C0D">
      <w:pPr>
        <w:spacing w:before="240" w:after="240"/>
        <w:jc w:val="both"/>
        <w:rPr>
          <w:rFonts w:cs="Arial"/>
          <w:sz w:val="20"/>
          <w:szCs w:val="20"/>
        </w:rPr>
      </w:pPr>
      <w:r w:rsidRPr="00977183">
        <w:rPr>
          <w:rFonts w:cs="Arial"/>
          <w:b/>
          <w:bCs/>
          <w:sz w:val="20"/>
          <w:szCs w:val="20"/>
        </w:rPr>
        <w:t>Le Conseil, après en avoir délibéré :</w:t>
      </w:r>
    </w:p>
    <w:p w14:paraId="3E0A89CC" w14:textId="77777777" w:rsidR="00255C0D" w:rsidRPr="009702E2" w:rsidRDefault="00255C0D" w:rsidP="00255C0D">
      <w:pPr>
        <w:pStyle w:val="Titre1"/>
        <w:tabs>
          <w:tab w:val="right" w:pos="9639"/>
        </w:tabs>
        <w:spacing w:before="240" w:after="240"/>
        <w:ind w:left="60"/>
        <w:rPr>
          <w:rFonts w:cs="Arial"/>
          <w:color w:val="auto"/>
          <w:sz w:val="20"/>
          <w:szCs w:val="20"/>
        </w:rPr>
      </w:pPr>
      <w:r w:rsidRPr="009702E2">
        <w:rPr>
          <w:rFonts w:cs="Arial"/>
          <w:color w:val="auto"/>
          <w:sz w:val="20"/>
          <w:szCs w:val="20"/>
        </w:rPr>
        <w:t xml:space="preserve">APPROUVE : </w:t>
      </w:r>
    </w:p>
    <w:p w14:paraId="3555232A" w14:textId="2740D1FD" w:rsidR="00255C0D" w:rsidRDefault="00255C0D" w:rsidP="00255C0D">
      <w:pPr>
        <w:pStyle w:val="Titre1"/>
        <w:tabs>
          <w:tab w:val="left" w:leader="dot" w:pos="1701"/>
        </w:tabs>
        <w:spacing w:before="0"/>
        <w:rPr>
          <w:rFonts w:cs="Arial"/>
          <w:b w:val="0"/>
          <w:color w:val="auto"/>
          <w:sz w:val="20"/>
          <w:szCs w:val="20"/>
        </w:rPr>
      </w:pPr>
      <w:r w:rsidRPr="009702E2">
        <w:rPr>
          <w:rFonts w:cs="Arial"/>
          <w:b w:val="0"/>
          <w:bCs w:val="0"/>
          <w:color w:val="auto"/>
          <w:sz w:val="20"/>
          <w:szCs w:val="20"/>
        </w:rPr>
        <w:t>-</w:t>
      </w:r>
      <w:r w:rsidRPr="009702E2">
        <w:rPr>
          <w:rFonts w:cs="Arial"/>
          <w:b w:val="0"/>
          <w:color w:val="auto"/>
          <w:sz w:val="20"/>
          <w:szCs w:val="20"/>
        </w:rPr>
        <w:t xml:space="preserve"> L’adhésion au contrat gr</w:t>
      </w:r>
      <w:r w:rsidR="00F479F4">
        <w:rPr>
          <w:rFonts w:cs="Arial"/>
          <w:b w:val="0"/>
          <w:color w:val="auto"/>
          <w:sz w:val="20"/>
          <w:szCs w:val="20"/>
        </w:rPr>
        <w:t>oupe d’assurance statutaire 202</w:t>
      </w:r>
      <w:r w:rsidR="00FE6385">
        <w:rPr>
          <w:rFonts w:cs="Arial"/>
          <w:b w:val="0"/>
          <w:color w:val="auto"/>
          <w:sz w:val="20"/>
          <w:szCs w:val="20"/>
        </w:rPr>
        <w:t>3</w:t>
      </w:r>
      <w:r w:rsidR="00F479F4">
        <w:rPr>
          <w:rFonts w:cs="Arial"/>
          <w:b w:val="0"/>
          <w:color w:val="auto"/>
          <w:sz w:val="20"/>
          <w:szCs w:val="20"/>
        </w:rPr>
        <w:t>-202</w:t>
      </w:r>
      <w:r w:rsidR="00FE6385">
        <w:rPr>
          <w:rFonts w:cs="Arial"/>
          <w:b w:val="0"/>
          <w:color w:val="auto"/>
          <w:sz w:val="20"/>
          <w:szCs w:val="20"/>
        </w:rPr>
        <w:t>6</w:t>
      </w:r>
      <w:r w:rsidRPr="009702E2">
        <w:rPr>
          <w:rFonts w:cs="Arial"/>
          <w:b w:val="0"/>
          <w:color w:val="auto"/>
          <w:sz w:val="20"/>
          <w:szCs w:val="20"/>
        </w:rPr>
        <w:t xml:space="preserve"> proposé par le CDG38 à compter </w:t>
      </w:r>
      <w:r>
        <w:rPr>
          <w:rFonts w:cs="Arial"/>
          <w:b w:val="0"/>
          <w:color w:val="auto"/>
          <w:sz w:val="20"/>
          <w:szCs w:val="20"/>
        </w:rPr>
        <w:t>d</w:t>
      </w:r>
      <w:r w:rsidRPr="009702E2">
        <w:rPr>
          <w:rFonts w:cs="Arial"/>
          <w:b w:val="0"/>
          <w:color w:val="auto"/>
          <w:sz w:val="20"/>
          <w:szCs w:val="20"/>
        </w:rPr>
        <w:t>u</w:t>
      </w:r>
    </w:p>
    <w:p w14:paraId="1E32C3BF" w14:textId="7BA9C6C9" w:rsidR="00255C0D" w:rsidRPr="00FE6660" w:rsidRDefault="00FE6660" w:rsidP="00255C0D">
      <w:pPr>
        <w:pStyle w:val="Titre1"/>
        <w:tabs>
          <w:tab w:val="left" w:leader="dot" w:pos="1701"/>
        </w:tabs>
        <w:spacing w:before="0"/>
        <w:rPr>
          <w:rFonts w:cs="Arial"/>
          <w:b w:val="0"/>
          <w:color w:val="FF0000"/>
          <w:sz w:val="20"/>
          <w:szCs w:val="20"/>
        </w:rPr>
      </w:pPr>
      <w:r w:rsidRPr="00FE6660">
        <w:rPr>
          <w:rFonts w:cs="Arial"/>
          <w:b w:val="0"/>
          <w:color w:val="auto"/>
          <w:sz w:val="20"/>
          <w:szCs w:val="20"/>
        </w:rPr>
        <w:t>1/01/2023</w:t>
      </w:r>
      <w:r w:rsidR="00F479F4" w:rsidRPr="00FE6660">
        <w:rPr>
          <w:rFonts w:cs="Arial"/>
          <w:b w:val="0"/>
          <w:color w:val="auto"/>
          <w:sz w:val="20"/>
          <w:szCs w:val="20"/>
        </w:rPr>
        <w:t xml:space="preserve"> </w:t>
      </w:r>
      <w:r w:rsidR="00F479F4">
        <w:rPr>
          <w:rFonts w:cs="Arial"/>
          <w:b w:val="0"/>
          <w:color w:val="auto"/>
          <w:sz w:val="20"/>
          <w:szCs w:val="20"/>
        </w:rPr>
        <w:t>et jusqu’au 31 décembre 202</w:t>
      </w:r>
      <w:r w:rsidR="00FE6385">
        <w:rPr>
          <w:rFonts w:cs="Arial"/>
          <w:b w:val="0"/>
          <w:color w:val="auto"/>
          <w:sz w:val="20"/>
          <w:szCs w:val="20"/>
        </w:rPr>
        <w:t>6</w:t>
      </w:r>
      <w:r w:rsidR="00255C0D" w:rsidRPr="009702E2">
        <w:rPr>
          <w:rFonts w:cs="Arial"/>
          <w:b w:val="0"/>
          <w:color w:val="auto"/>
          <w:sz w:val="20"/>
          <w:szCs w:val="20"/>
        </w:rPr>
        <w:t>.</w:t>
      </w:r>
    </w:p>
    <w:p w14:paraId="1C8C46CA" w14:textId="4D214581" w:rsidR="00255C0D" w:rsidRDefault="00255C0D" w:rsidP="00255C0D">
      <w:pPr>
        <w:pStyle w:val="Titre1"/>
        <w:tabs>
          <w:tab w:val="right" w:pos="9639"/>
        </w:tabs>
        <w:spacing w:before="240" w:after="240"/>
        <w:rPr>
          <w:rFonts w:cs="Arial"/>
          <w:b w:val="0"/>
          <w:color w:val="auto"/>
          <w:sz w:val="20"/>
          <w:szCs w:val="20"/>
        </w:rPr>
      </w:pPr>
      <w:r w:rsidRPr="009702E2">
        <w:rPr>
          <w:rFonts w:cs="Arial"/>
          <w:b w:val="0"/>
          <w:color w:val="auto"/>
          <w:sz w:val="20"/>
          <w:szCs w:val="20"/>
        </w:rPr>
        <w:t>- Les taux et prestations suivantes :</w:t>
      </w:r>
      <w:r w:rsidR="008462BB">
        <w:rPr>
          <w:rFonts w:cs="Arial"/>
          <w:b w:val="0"/>
          <w:color w:val="auto"/>
          <w:sz w:val="20"/>
          <w:szCs w:val="20"/>
        </w:rPr>
        <w:t xml:space="preserve"> </w:t>
      </w:r>
    </w:p>
    <w:p w14:paraId="1074354A" w14:textId="47AC31AC" w:rsidR="00FE6660" w:rsidRDefault="00FE6660" w:rsidP="00FE6660">
      <w:r>
        <w:t xml:space="preserve">Risques garantis : </w:t>
      </w:r>
    </w:p>
    <w:p w14:paraId="33FA79B0" w14:textId="2B1B257D" w:rsidR="00FE6660" w:rsidRDefault="00FE6660" w:rsidP="00FE6660"/>
    <w:p w14:paraId="78EB9139" w14:textId="518BF55D" w:rsidR="00FE6660" w:rsidRPr="00FE6660" w:rsidRDefault="00FE6660" w:rsidP="00FE6660">
      <w:pPr>
        <w:numPr>
          <w:ilvl w:val="0"/>
          <w:numId w:val="1"/>
        </w:numPr>
        <w:ind w:left="714" w:hanging="357"/>
        <w:rPr>
          <w:rFonts w:cs="Arial"/>
          <w:color w:val="000000"/>
          <w:sz w:val="19"/>
          <w:szCs w:val="19"/>
        </w:rPr>
      </w:pPr>
      <w:proofErr w:type="gramStart"/>
      <w:r w:rsidRPr="00FE6660">
        <w:rPr>
          <w:rFonts w:cs="Arial"/>
          <w:color w:val="000000"/>
          <w:sz w:val="19"/>
          <w:szCs w:val="19"/>
        </w:rPr>
        <w:t>accident</w:t>
      </w:r>
      <w:proofErr w:type="gramEnd"/>
      <w:r w:rsidRPr="00FE6660">
        <w:rPr>
          <w:rFonts w:cs="Arial"/>
          <w:color w:val="000000"/>
          <w:sz w:val="19"/>
          <w:szCs w:val="19"/>
        </w:rPr>
        <w:t xml:space="preserve"> de travail</w:t>
      </w:r>
      <w:r>
        <w:rPr>
          <w:rFonts w:cs="Arial"/>
          <w:color w:val="000000"/>
          <w:sz w:val="19"/>
          <w:szCs w:val="19"/>
        </w:rPr>
        <w:t xml:space="preserve"> / maladie professionnelle</w:t>
      </w:r>
    </w:p>
    <w:p w14:paraId="002F4061" w14:textId="27EF00FD" w:rsidR="00FE6660" w:rsidRDefault="00FE6660" w:rsidP="00FE6660">
      <w:pPr>
        <w:numPr>
          <w:ilvl w:val="0"/>
          <w:numId w:val="1"/>
        </w:numPr>
        <w:ind w:left="714" w:hanging="357"/>
        <w:rPr>
          <w:rFonts w:cs="Arial"/>
          <w:color w:val="000000"/>
          <w:sz w:val="19"/>
          <w:szCs w:val="19"/>
        </w:rPr>
      </w:pPr>
      <w:proofErr w:type="gramStart"/>
      <w:r w:rsidRPr="00FE6660">
        <w:rPr>
          <w:rFonts w:cs="Arial"/>
          <w:color w:val="000000"/>
          <w:sz w:val="19"/>
          <w:szCs w:val="19"/>
        </w:rPr>
        <w:t>maladie</w:t>
      </w:r>
      <w:proofErr w:type="gramEnd"/>
      <w:r w:rsidRPr="00FE6660">
        <w:rPr>
          <w:rFonts w:cs="Arial"/>
          <w:color w:val="000000"/>
          <w:sz w:val="19"/>
          <w:szCs w:val="19"/>
        </w:rPr>
        <w:t xml:space="preserve"> ordinaire</w:t>
      </w:r>
    </w:p>
    <w:p w14:paraId="1705B84A" w14:textId="332FCADC" w:rsidR="00FE6660" w:rsidRPr="00FE6660" w:rsidRDefault="00FE6660" w:rsidP="00FE6660">
      <w:pPr>
        <w:numPr>
          <w:ilvl w:val="0"/>
          <w:numId w:val="1"/>
        </w:numPr>
        <w:ind w:left="714" w:hanging="357"/>
        <w:rPr>
          <w:rFonts w:cs="Arial"/>
          <w:color w:val="000000"/>
          <w:sz w:val="19"/>
          <w:szCs w:val="19"/>
        </w:rPr>
      </w:pPr>
      <w:proofErr w:type="gramStart"/>
      <w:r>
        <w:rPr>
          <w:rFonts w:cs="Arial"/>
          <w:color w:val="000000"/>
          <w:sz w:val="19"/>
          <w:szCs w:val="19"/>
        </w:rPr>
        <w:t>temps</w:t>
      </w:r>
      <w:proofErr w:type="gramEnd"/>
      <w:r>
        <w:rPr>
          <w:rFonts w:cs="Arial"/>
          <w:color w:val="000000"/>
          <w:sz w:val="19"/>
          <w:szCs w:val="19"/>
        </w:rPr>
        <w:t xml:space="preserve"> partiel thérapeutique</w:t>
      </w:r>
    </w:p>
    <w:p w14:paraId="245C030A" w14:textId="28E5AF38" w:rsidR="00FE6660" w:rsidRPr="00FE6660" w:rsidRDefault="00FE6660" w:rsidP="00FE6660">
      <w:pPr>
        <w:numPr>
          <w:ilvl w:val="0"/>
          <w:numId w:val="1"/>
        </w:numPr>
        <w:ind w:left="714" w:hanging="357"/>
        <w:rPr>
          <w:rFonts w:cs="Arial"/>
          <w:color w:val="000000"/>
          <w:sz w:val="19"/>
          <w:szCs w:val="19"/>
        </w:rPr>
      </w:pPr>
      <w:proofErr w:type="gramStart"/>
      <w:r w:rsidRPr="00FE6660">
        <w:rPr>
          <w:rFonts w:cs="Arial"/>
          <w:color w:val="000000"/>
          <w:sz w:val="19"/>
          <w:szCs w:val="19"/>
        </w:rPr>
        <w:t>longue</w:t>
      </w:r>
      <w:proofErr w:type="gramEnd"/>
      <w:r w:rsidRPr="00FE6660">
        <w:rPr>
          <w:rFonts w:cs="Arial"/>
          <w:color w:val="000000"/>
          <w:sz w:val="19"/>
          <w:szCs w:val="19"/>
        </w:rPr>
        <w:t xml:space="preserve"> maladie</w:t>
      </w:r>
      <w:r>
        <w:rPr>
          <w:rFonts w:cs="Arial"/>
          <w:color w:val="000000"/>
          <w:sz w:val="19"/>
          <w:szCs w:val="19"/>
        </w:rPr>
        <w:t xml:space="preserve"> /</w:t>
      </w:r>
      <w:r w:rsidRPr="00FE6660">
        <w:rPr>
          <w:rFonts w:cs="Arial"/>
          <w:color w:val="000000"/>
          <w:sz w:val="19"/>
          <w:szCs w:val="19"/>
        </w:rPr>
        <w:t xml:space="preserve"> </w:t>
      </w:r>
      <w:r w:rsidRPr="00FE6660">
        <w:rPr>
          <w:rFonts w:cs="Arial"/>
          <w:color w:val="000000"/>
          <w:sz w:val="19"/>
          <w:szCs w:val="19"/>
        </w:rPr>
        <w:t>maladie longue durée</w:t>
      </w:r>
    </w:p>
    <w:p w14:paraId="3081D073" w14:textId="77777777" w:rsidR="00FE6660" w:rsidRPr="00FE6660" w:rsidRDefault="00FE6660" w:rsidP="00FE6660">
      <w:pPr>
        <w:numPr>
          <w:ilvl w:val="0"/>
          <w:numId w:val="1"/>
        </w:numPr>
        <w:ind w:left="714" w:hanging="357"/>
        <w:rPr>
          <w:rFonts w:cs="Arial"/>
          <w:color w:val="000000"/>
          <w:sz w:val="19"/>
          <w:szCs w:val="19"/>
        </w:rPr>
      </w:pPr>
      <w:proofErr w:type="gramStart"/>
      <w:r w:rsidRPr="00FE6660">
        <w:rPr>
          <w:rFonts w:cs="Arial"/>
          <w:color w:val="000000"/>
          <w:sz w:val="19"/>
          <w:szCs w:val="19"/>
        </w:rPr>
        <w:t>disponibilité</w:t>
      </w:r>
      <w:proofErr w:type="gramEnd"/>
      <w:r w:rsidRPr="00FE6660">
        <w:rPr>
          <w:rFonts w:cs="Arial"/>
          <w:color w:val="000000"/>
          <w:sz w:val="19"/>
          <w:szCs w:val="19"/>
        </w:rPr>
        <w:t xml:space="preserve"> d’office</w:t>
      </w:r>
    </w:p>
    <w:p w14:paraId="7F26AAC8" w14:textId="5FD7D9ED" w:rsidR="00FE6660" w:rsidRPr="00FE6660" w:rsidRDefault="00FE6660" w:rsidP="00FE6660">
      <w:pPr>
        <w:numPr>
          <w:ilvl w:val="0"/>
          <w:numId w:val="1"/>
        </w:numPr>
        <w:ind w:left="714" w:hanging="357"/>
        <w:rPr>
          <w:rFonts w:cs="Arial"/>
          <w:color w:val="000000"/>
          <w:sz w:val="19"/>
          <w:szCs w:val="19"/>
        </w:rPr>
      </w:pPr>
      <w:proofErr w:type="gramStart"/>
      <w:r w:rsidRPr="00FE6660">
        <w:rPr>
          <w:rFonts w:cs="Arial"/>
          <w:color w:val="000000"/>
          <w:sz w:val="19"/>
          <w:szCs w:val="19"/>
        </w:rPr>
        <w:t>maternité</w:t>
      </w:r>
      <w:proofErr w:type="gramEnd"/>
      <w:r>
        <w:rPr>
          <w:rFonts w:cs="Arial"/>
          <w:color w:val="000000"/>
          <w:sz w:val="19"/>
          <w:szCs w:val="19"/>
        </w:rPr>
        <w:t xml:space="preserve"> / paternité / adoption</w:t>
      </w:r>
    </w:p>
    <w:p w14:paraId="0972C727" w14:textId="77777777" w:rsidR="00FE6660" w:rsidRPr="00FE6660" w:rsidRDefault="00FE6660" w:rsidP="00FE6660">
      <w:pPr>
        <w:numPr>
          <w:ilvl w:val="0"/>
          <w:numId w:val="1"/>
        </w:numPr>
        <w:ind w:left="714" w:hanging="357"/>
        <w:rPr>
          <w:rFonts w:cs="Arial"/>
          <w:color w:val="000000"/>
          <w:sz w:val="19"/>
          <w:szCs w:val="19"/>
        </w:rPr>
      </w:pPr>
      <w:proofErr w:type="gramStart"/>
      <w:r w:rsidRPr="00FE6660">
        <w:rPr>
          <w:rFonts w:cs="Arial"/>
          <w:color w:val="000000"/>
          <w:sz w:val="19"/>
          <w:szCs w:val="19"/>
        </w:rPr>
        <w:t>décès</w:t>
      </w:r>
      <w:proofErr w:type="gramEnd"/>
    </w:p>
    <w:p w14:paraId="4B79EA00" w14:textId="77777777" w:rsidR="00FE6660" w:rsidRPr="00FE6660" w:rsidRDefault="00FE6660" w:rsidP="00FE6660"/>
    <w:p w14:paraId="45EAC9BD" w14:textId="77777777" w:rsidR="008A0AE8" w:rsidRDefault="008A0AE8" w:rsidP="008A0AE8">
      <w:pPr>
        <w:jc w:val="both"/>
        <w:rPr>
          <w:rFonts w:cs="Arial"/>
          <w:color w:val="000000"/>
          <w:szCs w:val="22"/>
        </w:rPr>
      </w:pPr>
    </w:p>
    <w:p w14:paraId="2C9DCE98" w14:textId="77777777" w:rsidR="00FE6660" w:rsidRDefault="00FE6660">
      <w:pPr>
        <w:spacing w:after="200" w:line="276" w:lineRule="auto"/>
        <w:rPr>
          <w:rFonts w:cs="Arial"/>
          <w:color w:val="000000"/>
          <w:szCs w:val="22"/>
        </w:rPr>
      </w:pPr>
      <w:r>
        <w:rPr>
          <w:rFonts w:cs="Arial"/>
          <w:color w:val="000000"/>
          <w:szCs w:val="22"/>
        </w:rPr>
        <w:br w:type="page"/>
      </w:r>
    </w:p>
    <w:p w14:paraId="5B4A3BEA" w14:textId="76D03568" w:rsidR="008A0AE8" w:rsidRDefault="008A0AE8" w:rsidP="008A0AE8">
      <w:pPr>
        <w:jc w:val="both"/>
        <w:rPr>
          <w:rFonts w:cs="Arial"/>
          <w:color w:val="000000"/>
          <w:szCs w:val="22"/>
        </w:rPr>
      </w:pPr>
      <w:r w:rsidRPr="00C13F2A">
        <w:rPr>
          <w:rFonts w:cs="Arial"/>
          <w:color w:val="000000"/>
          <w:szCs w:val="22"/>
        </w:rPr>
        <w:lastRenderedPageBreak/>
        <w:t>AGENTS AFFILI</w:t>
      </w:r>
      <w:r>
        <w:rPr>
          <w:rFonts w:cs="Arial"/>
          <w:color w:val="000000"/>
          <w:szCs w:val="22"/>
        </w:rPr>
        <w:t>E</w:t>
      </w:r>
      <w:r w:rsidRPr="00C13F2A">
        <w:rPr>
          <w:rFonts w:cs="Arial"/>
          <w:color w:val="000000"/>
          <w:szCs w:val="22"/>
        </w:rPr>
        <w:t xml:space="preserve">S </w:t>
      </w:r>
      <w:r>
        <w:rPr>
          <w:rFonts w:cs="Arial"/>
          <w:color w:val="000000"/>
          <w:szCs w:val="22"/>
        </w:rPr>
        <w:t>À</w:t>
      </w:r>
      <w:r w:rsidRPr="00C13F2A">
        <w:rPr>
          <w:rFonts w:cs="Arial"/>
          <w:color w:val="000000"/>
          <w:szCs w:val="22"/>
        </w:rPr>
        <w:t xml:space="preserve"> LA CNRACL</w:t>
      </w:r>
    </w:p>
    <w:p w14:paraId="49E95B32" w14:textId="77777777" w:rsidR="008A0AE8" w:rsidRDefault="008A0AE8" w:rsidP="008A0AE8">
      <w:pPr>
        <w:jc w:val="both"/>
        <w:rPr>
          <w:rFonts w:cs="Arial"/>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716"/>
        <w:gridCol w:w="3020"/>
      </w:tblGrid>
      <w:tr w:rsidR="008A0AE8" w:rsidRPr="00BE6E53" w14:paraId="51EC1C80" w14:textId="77777777" w:rsidTr="00B11EA8">
        <w:trPr>
          <w:jc w:val="center"/>
        </w:trPr>
        <w:tc>
          <w:tcPr>
            <w:tcW w:w="2825" w:type="dxa"/>
            <w:shd w:val="clear" w:color="auto" w:fill="auto"/>
          </w:tcPr>
          <w:p w14:paraId="185C692E" w14:textId="77777777" w:rsidR="008A0AE8" w:rsidRPr="00BE6E53" w:rsidRDefault="008A0AE8" w:rsidP="00B11EA8">
            <w:pPr>
              <w:jc w:val="both"/>
              <w:rPr>
                <w:rFonts w:cs="Arial"/>
                <w:color w:val="000000"/>
                <w:szCs w:val="22"/>
              </w:rPr>
            </w:pPr>
            <w:r w:rsidRPr="00BE6E53">
              <w:rPr>
                <w:rFonts w:cs="Arial"/>
                <w:color w:val="000000"/>
                <w:szCs w:val="22"/>
              </w:rPr>
              <w:t>Formule tous risques avec franchise en maladie ordinaire</w:t>
            </w:r>
          </w:p>
        </w:tc>
        <w:tc>
          <w:tcPr>
            <w:tcW w:w="2716" w:type="dxa"/>
            <w:shd w:val="clear" w:color="auto" w:fill="auto"/>
          </w:tcPr>
          <w:p w14:paraId="2C3BBF49" w14:textId="77777777" w:rsidR="008A0AE8" w:rsidRPr="00BE6E53" w:rsidRDefault="008A0AE8" w:rsidP="00B11EA8">
            <w:pPr>
              <w:jc w:val="both"/>
              <w:rPr>
                <w:rFonts w:cs="Arial"/>
                <w:color w:val="000000"/>
                <w:szCs w:val="22"/>
              </w:rPr>
            </w:pPr>
            <w:r w:rsidRPr="00BE6E53">
              <w:rPr>
                <w:rFonts w:cs="Arial"/>
                <w:color w:val="000000"/>
                <w:szCs w:val="22"/>
              </w:rPr>
              <w:t>Collectivité employant de 1 à 10 agents CNRACL</w:t>
            </w:r>
          </w:p>
        </w:tc>
        <w:tc>
          <w:tcPr>
            <w:tcW w:w="3020" w:type="dxa"/>
            <w:shd w:val="clear" w:color="auto" w:fill="auto"/>
          </w:tcPr>
          <w:p w14:paraId="0B26287E" w14:textId="77777777" w:rsidR="008A0AE8" w:rsidRPr="00BE6E53" w:rsidRDefault="008A0AE8" w:rsidP="00B11EA8">
            <w:pPr>
              <w:jc w:val="both"/>
              <w:rPr>
                <w:rFonts w:cs="Arial"/>
                <w:color w:val="000000"/>
                <w:szCs w:val="22"/>
              </w:rPr>
            </w:pPr>
            <w:r w:rsidRPr="00BE6E53">
              <w:rPr>
                <w:rFonts w:cs="Arial"/>
                <w:color w:val="000000"/>
                <w:szCs w:val="22"/>
              </w:rPr>
              <w:t>Collectivité employant de 11 à 30 agents CNRACL</w:t>
            </w:r>
          </w:p>
        </w:tc>
      </w:tr>
      <w:tr w:rsidR="008A0AE8" w:rsidRPr="00BE6E53" w14:paraId="07948643" w14:textId="77777777" w:rsidTr="00B11EA8">
        <w:trPr>
          <w:jc w:val="center"/>
        </w:trPr>
        <w:tc>
          <w:tcPr>
            <w:tcW w:w="2825" w:type="dxa"/>
            <w:shd w:val="clear" w:color="auto" w:fill="auto"/>
          </w:tcPr>
          <w:p w14:paraId="6A0E3336" w14:textId="77777777" w:rsidR="008A0AE8" w:rsidRPr="00BE6E53" w:rsidRDefault="008A0AE8" w:rsidP="00B11EA8">
            <w:pPr>
              <w:jc w:val="center"/>
              <w:rPr>
                <w:rFonts w:cs="Arial"/>
                <w:color w:val="000000"/>
                <w:szCs w:val="22"/>
              </w:rPr>
            </w:pPr>
            <w:r w:rsidRPr="00BE6E53">
              <w:rPr>
                <w:rFonts w:cs="Arial"/>
                <w:color w:val="000000"/>
                <w:szCs w:val="22"/>
              </w:rPr>
              <w:t>20 jours</w:t>
            </w:r>
          </w:p>
        </w:tc>
        <w:tc>
          <w:tcPr>
            <w:tcW w:w="2716" w:type="dxa"/>
            <w:shd w:val="clear" w:color="auto" w:fill="auto"/>
          </w:tcPr>
          <w:p w14:paraId="3DCFA138" w14:textId="77777777" w:rsidR="008A0AE8" w:rsidRPr="00BE6E53" w:rsidRDefault="008A0AE8" w:rsidP="00B11EA8">
            <w:pPr>
              <w:jc w:val="center"/>
              <w:rPr>
                <w:rFonts w:cs="Arial"/>
                <w:color w:val="000000"/>
                <w:szCs w:val="22"/>
              </w:rPr>
            </w:pPr>
            <w:r w:rsidRPr="00BE6E53">
              <w:rPr>
                <w:rFonts w:cs="Arial"/>
                <w:color w:val="000000"/>
                <w:szCs w:val="22"/>
              </w:rPr>
              <w:t>8,15%</w:t>
            </w:r>
          </w:p>
        </w:tc>
        <w:tc>
          <w:tcPr>
            <w:tcW w:w="3020" w:type="dxa"/>
            <w:shd w:val="clear" w:color="auto" w:fill="auto"/>
          </w:tcPr>
          <w:p w14:paraId="6168ABD2" w14:textId="77777777" w:rsidR="008A0AE8" w:rsidRPr="00BE6E53" w:rsidRDefault="008A0AE8" w:rsidP="00B11EA8">
            <w:pPr>
              <w:jc w:val="center"/>
              <w:rPr>
                <w:rFonts w:cs="Arial"/>
                <w:color w:val="000000"/>
                <w:szCs w:val="22"/>
              </w:rPr>
            </w:pPr>
            <w:r w:rsidRPr="00BE6E53">
              <w:rPr>
                <w:rFonts w:cs="Arial"/>
                <w:color w:val="000000"/>
                <w:szCs w:val="22"/>
              </w:rPr>
              <w:t>9,30%</w:t>
            </w:r>
          </w:p>
        </w:tc>
      </w:tr>
      <w:tr w:rsidR="008A0AE8" w:rsidRPr="00BE6E53" w14:paraId="23D62FB3" w14:textId="77777777" w:rsidTr="00B11EA8">
        <w:trPr>
          <w:jc w:val="center"/>
        </w:trPr>
        <w:tc>
          <w:tcPr>
            <w:tcW w:w="2825" w:type="dxa"/>
            <w:shd w:val="clear" w:color="auto" w:fill="auto"/>
          </w:tcPr>
          <w:p w14:paraId="67EF6C30" w14:textId="77777777" w:rsidR="008A0AE8" w:rsidRPr="00BE6E53" w:rsidRDefault="008A0AE8" w:rsidP="00B11EA8">
            <w:pPr>
              <w:jc w:val="center"/>
              <w:rPr>
                <w:rFonts w:cs="Arial"/>
                <w:color w:val="000000"/>
                <w:szCs w:val="22"/>
              </w:rPr>
            </w:pPr>
            <w:r w:rsidRPr="00BE6E53">
              <w:rPr>
                <w:rFonts w:cs="Arial"/>
                <w:color w:val="000000"/>
                <w:szCs w:val="22"/>
              </w:rPr>
              <w:t>30 jours</w:t>
            </w:r>
          </w:p>
        </w:tc>
        <w:tc>
          <w:tcPr>
            <w:tcW w:w="2716" w:type="dxa"/>
            <w:shd w:val="clear" w:color="auto" w:fill="auto"/>
          </w:tcPr>
          <w:p w14:paraId="671661F3" w14:textId="77777777" w:rsidR="008A0AE8" w:rsidRPr="00BE6E53" w:rsidRDefault="008A0AE8" w:rsidP="00B11EA8">
            <w:pPr>
              <w:jc w:val="center"/>
              <w:rPr>
                <w:rFonts w:cs="Arial"/>
                <w:color w:val="000000"/>
                <w:szCs w:val="22"/>
              </w:rPr>
            </w:pPr>
            <w:r w:rsidRPr="00BE6E53">
              <w:rPr>
                <w:rFonts w:cs="Arial"/>
                <w:color w:val="000000"/>
                <w:szCs w:val="22"/>
              </w:rPr>
              <w:t>6,84%</w:t>
            </w:r>
            <w:r>
              <w:rPr>
                <w:rFonts w:cs="Arial"/>
                <w:color w:val="000000"/>
                <w:szCs w:val="22"/>
              </w:rPr>
              <w:t xml:space="preserve"> </w:t>
            </w:r>
          </w:p>
        </w:tc>
        <w:tc>
          <w:tcPr>
            <w:tcW w:w="3020" w:type="dxa"/>
            <w:shd w:val="clear" w:color="auto" w:fill="auto"/>
          </w:tcPr>
          <w:p w14:paraId="60B8926C" w14:textId="77777777" w:rsidR="008A0AE8" w:rsidRPr="00BE6E53" w:rsidRDefault="008A0AE8" w:rsidP="00B11EA8">
            <w:pPr>
              <w:jc w:val="center"/>
              <w:rPr>
                <w:rFonts w:cs="Arial"/>
                <w:color w:val="000000"/>
                <w:szCs w:val="22"/>
              </w:rPr>
            </w:pPr>
            <w:r w:rsidRPr="00BE6E53">
              <w:rPr>
                <w:rFonts w:cs="Arial"/>
                <w:color w:val="000000"/>
                <w:szCs w:val="22"/>
              </w:rPr>
              <w:t>7,80%</w:t>
            </w:r>
          </w:p>
        </w:tc>
      </w:tr>
    </w:tbl>
    <w:p w14:paraId="6AF0A02B" w14:textId="77777777" w:rsidR="008A0AE8" w:rsidRDefault="008A0AE8" w:rsidP="008A0AE8">
      <w:pPr>
        <w:jc w:val="both"/>
        <w:rPr>
          <w:rFonts w:cs="Arial"/>
          <w:color w:val="000000"/>
          <w:szCs w:val="22"/>
        </w:rPr>
      </w:pPr>
    </w:p>
    <w:p w14:paraId="2C3D9007" w14:textId="77777777" w:rsidR="008A0AE8" w:rsidRDefault="008A0AE8" w:rsidP="008A0AE8">
      <w:pPr>
        <w:jc w:val="both"/>
        <w:rPr>
          <w:rFonts w:cs="Arial"/>
          <w:color w:val="000000"/>
          <w:szCs w:val="22"/>
        </w:rPr>
      </w:pPr>
      <w:r w:rsidRPr="00C13F2A">
        <w:rPr>
          <w:rFonts w:cs="Arial"/>
          <w:color w:val="000000"/>
          <w:szCs w:val="22"/>
        </w:rPr>
        <w:t xml:space="preserve">AGENTS AFFILIES </w:t>
      </w:r>
      <w:r>
        <w:rPr>
          <w:rFonts w:cs="Arial"/>
          <w:color w:val="000000"/>
          <w:szCs w:val="22"/>
        </w:rPr>
        <w:t>À</w:t>
      </w:r>
      <w:r w:rsidRPr="00C13F2A">
        <w:rPr>
          <w:rFonts w:cs="Arial"/>
          <w:color w:val="000000"/>
          <w:szCs w:val="22"/>
        </w:rPr>
        <w:t xml:space="preserve"> L’IRCANTEC</w:t>
      </w:r>
    </w:p>
    <w:p w14:paraId="50CB2081" w14:textId="77777777" w:rsidR="008A0AE8" w:rsidRDefault="008A0AE8" w:rsidP="008A0AE8">
      <w:pPr>
        <w:jc w:val="both"/>
        <w:rPr>
          <w:rFonts w:cs="Arial"/>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401"/>
      </w:tblGrid>
      <w:tr w:rsidR="008A0AE8" w:rsidRPr="00BE6E53" w14:paraId="545C604E" w14:textId="77777777" w:rsidTr="00B11EA8">
        <w:trPr>
          <w:jc w:val="center"/>
        </w:trPr>
        <w:tc>
          <w:tcPr>
            <w:tcW w:w="3401" w:type="dxa"/>
            <w:shd w:val="clear" w:color="auto" w:fill="auto"/>
          </w:tcPr>
          <w:p w14:paraId="1BAAC50A" w14:textId="77777777" w:rsidR="008A0AE8" w:rsidRPr="00BE6E53" w:rsidRDefault="008A0AE8" w:rsidP="00B11EA8">
            <w:pPr>
              <w:jc w:val="both"/>
              <w:rPr>
                <w:rFonts w:cs="Arial"/>
                <w:color w:val="000000"/>
                <w:szCs w:val="22"/>
              </w:rPr>
            </w:pPr>
            <w:r w:rsidRPr="00BE6E53">
              <w:rPr>
                <w:rFonts w:cs="Arial"/>
                <w:color w:val="000000"/>
                <w:szCs w:val="22"/>
              </w:rPr>
              <w:t>Formule tous risques avec franchise en maladie ordinaire</w:t>
            </w:r>
          </w:p>
        </w:tc>
        <w:tc>
          <w:tcPr>
            <w:tcW w:w="3401" w:type="dxa"/>
            <w:shd w:val="clear" w:color="auto" w:fill="auto"/>
          </w:tcPr>
          <w:p w14:paraId="0155D1C0" w14:textId="77777777" w:rsidR="008A0AE8" w:rsidRPr="00BE6E53" w:rsidRDefault="008A0AE8" w:rsidP="00B11EA8">
            <w:pPr>
              <w:jc w:val="center"/>
              <w:rPr>
                <w:rFonts w:cs="Arial"/>
                <w:color w:val="000000"/>
                <w:szCs w:val="22"/>
              </w:rPr>
            </w:pPr>
            <w:r>
              <w:rPr>
                <w:rFonts w:cs="Arial"/>
                <w:color w:val="000000"/>
                <w:szCs w:val="22"/>
              </w:rPr>
              <w:t>Taux</w:t>
            </w:r>
          </w:p>
        </w:tc>
      </w:tr>
      <w:tr w:rsidR="008A0AE8" w:rsidRPr="00BE6E53" w14:paraId="22D19701" w14:textId="77777777" w:rsidTr="00B11EA8">
        <w:trPr>
          <w:jc w:val="center"/>
        </w:trPr>
        <w:tc>
          <w:tcPr>
            <w:tcW w:w="3401" w:type="dxa"/>
            <w:shd w:val="clear" w:color="auto" w:fill="auto"/>
          </w:tcPr>
          <w:p w14:paraId="76E77AF5" w14:textId="77777777" w:rsidR="008A0AE8" w:rsidRPr="00BE6E53" w:rsidRDefault="008A0AE8" w:rsidP="00B11EA8">
            <w:pPr>
              <w:jc w:val="center"/>
              <w:rPr>
                <w:rFonts w:cs="Arial"/>
                <w:color w:val="000000"/>
                <w:szCs w:val="22"/>
              </w:rPr>
            </w:pPr>
            <w:r w:rsidRPr="00BE6E53">
              <w:rPr>
                <w:rFonts w:cs="Arial"/>
                <w:color w:val="000000"/>
                <w:szCs w:val="22"/>
              </w:rPr>
              <w:t>20 jours</w:t>
            </w:r>
          </w:p>
        </w:tc>
        <w:tc>
          <w:tcPr>
            <w:tcW w:w="3401" w:type="dxa"/>
            <w:shd w:val="clear" w:color="auto" w:fill="auto"/>
          </w:tcPr>
          <w:p w14:paraId="29650084" w14:textId="77777777" w:rsidR="008A0AE8" w:rsidRPr="00BE6E53" w:rsidRDefault="008A0AE8" w:rsidP="00B11EA8">
            <w:pPr>
              <w:jc w:val="center"/>
              <w:rPr>
                <w:rFonts w:cs="Arial"/>
                <w:color w:val="000000"/>
                <w:szCs w:val="22"/>
              </w:rPr>
            </w:pPr>
            <w:r w:rsidRPr="00BE6E53">
              <w:rPr>
                <w:rFonts w:cs="Arial"/>
                <w:color w:val="000000"/>
                <w:szCs w:val="22"/>
              </w:rPr>
              <w:t>1,15%</w:t>
            </w:r>
          </w:p>
        </w:tc>
      </w:tr>
      <w:tr w:rsidR="008A0AE8" w:rsidRPr="00BE6E53" w14:paraId="4E0FDF5E" w14:textId="77777777" w:rsidTr="00B11EA8">
        <w:trPr>
          <w:jc w:val="center"/>
        </w:trPr>
        <w:tc>
          <w:tcPr>
            <w:tcW w:w="3401" w:type="dxa"/>
            <w:shd w:val="clear" w:color="auto" w:fill="auto"/>
          </w:tcPr>
          <w:p w14:paraId="5D9ACD0A" w14:textId="77777777" w:rsidR="008A0AE8" w:rsidRPr="00BE6E53" w:rsidRDefault="008A0AE8" w:rsidP="00B11EA8">
            <w:pPr>
              <w:jc w:val="center"/>
              <w:rPr>
                <w:rFonts w:cs="Arial"/>
                <w:color w:val="000000"/>
                <w:szCs w:val="22"/>
              </w:rPr>
            </w:pPr>
            <w:r w:rsidRPr="00BE6E53">
              <w:rPr>
                <w:rFonts w:cs="Arial"/>
                <w:color w:val="000000"/>
                <w:szCs w:val="22"/>
              </w:rPr>
              <w:t>30 jours</w:t>
            </w:r>
          </w:p>
        </w:tc>
        <w:tc>
          <w:tcPr>
            <w:tcW w:w="3401" w:type="dxa"/>
            <w:shd w:val="clear" w:color="auto" w:fill="auto"/>
          </w:tcPr>
          <w:p w14:paraId="16B8E402" w14:textId="77777777" w:rsidR="008A0AE8" w:rsidRPr="00BE6E53" w:rsidRDefault="008A0AE8" w:rsidP="00B11EA8">
            <w:pPr>
              <w:jc w:val="center"/>
              <w:rPr>
                <w:rFonts w:cs="Arial"/>
                <w:color w:val="000000"/>
                <w:szCs w:val="22"/>
              </w:rPr>
            </w:pPr>
            <w:r w:rsidRPr="00BE6E53">
              <w:rPr>
                <w:rFonts w:cs="Arial"/>
                <w:color w:val="000000"/>
                <w:szCs w:val="22"/>
              </w:rPr>
              <w:t>1,05%</w:t>
            </w:r>
          </w:p>
        </w:tc>
      </w:tr>
    </w:tbl>
    <w:p w14:paraId="0DD83E31" w14:textId="51F8ED4B" w:rsidR="00255C0D" w:rsidRPr="00977183" w:rsidRDefault="008A0AE8" w:rsidP="00255C0D">
      <w:pPr>
        <w:pStyle w:val="Corpsdetexte"/>
        <w:spacing w:before="240" w:after="240"/>
        <w:rPr>
          <w:b/>
          <w:i/>
          <w:szCs w:val="20"/>
        </w:rPr>
      </w:pPr>
      <w:r w:rsidRPr="008E57D1">
        <w:rPr>
          <w:color w:val="000000"/>
          <w:szCs w:val="22"/>
        </w:rPr>
        <w:br/>
      </w:r>
      <w:r w:rsidR="00255C0D" w:rsidRPr="00977183">
        <w:rPr>
          <w:i/>
          <w:szCs w:val="20"/>
        </w:rPr>
        <w:t>PREND ACTE</w:t>
      </w:r>
      <w:r w:rsidR="00255C0D" w:rsidRPr="00977183">
        <w:rPr>
          <w:b/>
          <w:i/>
          <w:szCs w:val="20"/>
        </w:rPr>
        <w:t xml:space="preserve"> que les frais de gestion du CDG38 qui s’élèvent à 0.12% de la masse salariale assurée, viennent en supplément des taux d’assurance ci-dessus déterminés ;</w:t>
      </w:r>
    </w:p>
    <w:p w14:paraId="3BD6A32F" w14:textId="77777777" w:rsidR="00255C0D" w:rsidRPr="00977183" w:rsidRDefault="00255C0D" w:rsidP="00255C0D">
      <w:pPr>
        <w:spacing w:before="240" w:after="240"/>
        <w:jc w:val="both"/>
        <w:rPr>
          <w:rFonts w:cs="Arial"/>
          <w:bCs/>
          <w:sz w:val="20"/>
          <w:szCs w:val="20"/>
        </w:rPr>
      </w:pPr>
      <w:proofErr w:type="gramStart"/>
      <w:r w:rsidRPr="00977183">
        <w:rPr>
          <w:rFonts w:cs="Arial"/>
          <w:b/>
          <w:sz w:val="20"/>
          <w:szCs w:val="20"/>
        </w:rPr>
        <w:t>AUTORISE</w:t>
      </w:r>
      <w:r w:rsidRPr="00977183">
        <w:rPr>
          <w:rFonts w:cs="Arial"/>
          <w:sz w:val="20"/>
          <w:szCs w:val="20"/>
        </w:rPr>
        <w:t xml:space="preserve"> </w:t>
      </w:r>
      <w:r w:rsidRPr="00977183">
        <w:rPr>
          <w:rFonts w:cs="Arial"/>
          <w:bCs/>
          <w:i/>
          <w:sz w:val="20"/>
          <w:szCs w:val="20"/>
        </w:rPr>
        <w:t>le</w:t>
      </w:r>
      <w:proofErr w:type="gramEnd"/>
      <w:r w:rsidRPr="00977183">
        <w:rPr>
          <w:rFonts w:cs="Arial"/>
          <w:bCs/>
          <w:i/>
          <w:sz w:val="20"/>
          <w:szCs w:val="20"/>
        </w:rPr>
        <w:t xml:space="preserve"> Maire/le Président</w:t>
      </w:r>
      <w:r w:rsidRPr="00977183">
        <w:rPr>
          <w:rFonts w:cs="Arial"/>
          <w:bCs/>
          <w:sz w:val="20"/>
          <w:szCs w:val="20"/>
        </w:rPr>
        <w:t xml:space="preserve"> pour effectuer toute démarche et signer tout acte nécessaire à cet effet.</w:t>
      </w:r>
    </w:p>
    <w:p w14:paraId="343F238F" w14:textId="77777777" w:rsidR="00255C0D" w:rsidRPr="00977183" w:rsidRDefault="00255C0D" w:rsidP="00255C0D">
      <w:pPr>
        <w:spacing w:before="240" w:after="240"/>
        <w:jc w:val="both"/>
        <w:rPr>
          <w:rFonts w:cs="Arial"/>
          <w:sz w:val="20"/>
          <w:szCs w:val="20"/>
        </w:rPr>
      </w:pPr>
      <w:r w:rsidRPr="00977183">
        <w:rPr>
          <w:rFonts w:cs="Arial"/>
          <w:b/>
          <w:bCs/>
          <w:sz w:val="20"/>
          <w:szCs w:val="20"/>
        </w:rPr>
        <w:t>PREND ACTE</w:t>
      </w:r>
      <w:r w:rsidRPr="00977183">
        <w:rPr>
          <w:rFonts w:cs="Arial"/>
          <w:bCs/>
          <w:sz w:val="20"/>
          <w:szCs w:val="20"/>
        </w:rPr>
        <w:t xml:space="preserve"> que la collectivité adhérente pourra quitter le contrat groupe chaque année sous réserve d’un délai de préavis de </w:t>
      </w:r>
      <w:r w:rsidR="00F479F4">
        <w:rPr>
          <w:rFonts w:cs="Arial"/>
          <w:bCs/>
          <w:sz w:val="20"/>
          <w:szCs w:val="20"/>
        </w:rPr>
        <w:t>6</w:t>
      </w:r>
      <w:r>
        <w:rPr>
          <w:rFonts w:cs="Arial"/>
          <w:bCs/>
          <w:sz w:val="20"/>
          <w:szCs w:val="20"/>
        </w:rPr>
        <w:t xml:space="preserve"> </w:t>
      </w:r>
      <w:r w:rsidRPr="00977183">
        <w:rPr>
          <w:rFonts w:cs="Arial"/>
          <w:bCs/>
          <w:sz w:val="20"/>
          <w:szCs w:val="20"/>
        </w:rPr>
        <w:t>mois.</w:t>
      </w:r>
    </w:p>
    <w:p w14:paraId="7543E47C" w14:textId="77777777" w:rsidR="00BF4F3D" w:rsidRDefault="00BF4F3D"/>
    <w:sectPr w:rsidR="00BF4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E7C99"/>
    <w:multiLevelType w:val="multilevel"/>
    <w:tmpl w:val="75A2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89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0D"/>
    <w:rsid w:val="00025606"/>
    <w:rsid w:val="00025C6F"/>
    <w:rsid w:val="00255C0D"/>
    <w:rsid w:val="003B42AA"/>
    <w:rsid w:val="008462BB"/>
    <w:rsid w:val="008A0AE8"/>
    <w:rsid w:val="00941214"/>
    <w:rsid w:val="00A15DD8"/>
    <w:rsid w:val="00BF4F3D"/>
    <w:rsid w:val="00F479F4"/>
    <w:rsid w:val="00FE6385"/>
    <w:rsid w:val="00FE6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8BED"/>
  <w15:docId w15:val="{DD56020D-D354-49AC-BA01-5B1AB0B7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0D"/>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qFormat/>
    <w:rsid w:val="00255C0D"/>
    <w:pPr>
      <w:keepNext/>
      <w:keepLines/>
      <w:suppressAutoHyphens/>
      <w:autoSpaceDN w:val="0"/>
      <w:spacing w:before="480"/>
      <w:textAlignment w:val="baseline"/>
      <w:outlineLvl w:val="0"/>
    </w:pPr>
    <w:rPr>
      <w:rFonts w:cs="F"/>
      <w:b/>
      <w:bCs/>
      <w:color w:val="365F91"/>
      <w:kern w:val="3"/>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55C0D"/>
    <w:rPr>
      <w:rFonts w:ascii="Arial" w:eastAsia="Times New Roman" w:hAnsi="Arial" w:cs="F"/>
      <w:b/>
      <w:bCs/>
      <w:color w:val="365F91"/>
      <w:kern w:val="3"/>
      <w:sz w:val="28"/>
      <w:szCs w:val="28"/>
      <w:lang w:eastAsia="fr-FR"/>
    </w:rPr>
  </w:style>
  <w:style w:type="paragraph" w:styleId="Titre">
    <w:name w:val="Title"/>
    <w:basedOn w:val="Normal"/>
    <w:next w:val="Normal"/>
    <w:link w:val="TitreCar"/>
    <w:qFormat/>
    <w:rsid w:val="00255C0D"/>
    <w:pPr>
      <w:spacing w:before="240" w:after="60"/>
      <w:jc w:val="center"/>
      <w:outlineLvl w:val="0"/>
    </w:pPr>
    <w:rPr>
      <w:b/>
      <w:bCs/>
      <w:kern w:val="28"/>
      <w:sz w:val="32"/>
      <w:szCs w:val="32"/>
    </w:rPr>
  </w:style>
  <w:style w:type="character" w:customStyle="1" w:styleId="TitreCar">
    <w:name w:val="Titre Car"/>
    <w:basedOn w:val="Policepardfaut"/>
    <w:link w:val="Titre"/>
    <w:rsid w:val="00255C0D"/>
    <w:rPr>
      <w:rFonts w:ascii="Arial" w:eastAsia="Times New Roman" w:hAnsi="Arial" w:cs="Times New Roman"/>
      <w:b/>
      <w:bCs/>
      <w:kern w:val="28"/>
      <w:sz w:val="32"/>
      <w:szCs w:val="32"/>
      <w:lang w:eastAsia="fr-FR"/>
    </w:rPr>
  </w:style>
  <w:style w:type="paragraph" w:styleId="Corpsdetexte">
    <w:name w:val="Body Text"/>
    <w:basedOn w:val="Normal"/>
    <w:link w:val="CorpsdetexteCar"/>
    <w:semiHidden/>
    <w:rsid w:val="00255C0D"/>
    <w:pPr>
      <w:widowControl w:val="0"/>
      <w:jc w:val="both"/>
    </w:pPr>
    <w:rPr>
      <w:rFonts w:cs="Arial"/>
    </w:rPr>
  </w:style>
  <w:style w:type="character" w:customStyle="1" w:styleId="CorpsdetexteCar">
    <w:name w:val="Corps de texte Car"/>
    <w:basedOn w:val="Policepardfaut"/>
    <w:link w:val="Corpsdetexte"/>
    <w:semiHidden/>
    <w:rsid w:val="00255C0D"/>
    <w:rPr>
      <w:rFonts w:ascii="Arial" w:eastAsia="Times New Roman" w:hAnsi="Arial" w:cs="Arial"/>
      <w:szCs w:val="24"/>
      <w:lang w:eastAsia="fr-FR"/>
    </w:rPr>
  </w:style>
  <w:style w:type="paragraph" w:customStyle="1" w:styleId="Default">
    <w:name w:val="Default"/>
    <w:rsid w:val="003B42AA"/>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PieddepageCar">
    <w:name w:val="Pied de page Car"/>
    <w:basedOn w:val="Policepardfaut"/>
    <w:rsid w:val="008A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409</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CDG38</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VERNAY Laurence</cp:lastModifiedBy>
  <cp:revision>7</cp:revision>
  <cp:lastPrinted>2020-11-03T09:30:00Z</cp:lastPrinted>
  <dcterms:created xsi:type="dcterms:W3CDTF">2022-11-23T13:13:00Z</dcterms:created>
  <dcterms:modified xsi:type="dcterms:W3CDTF">2022-12-14T13:52:00Z</dcterms:modified>
</cp:coreProperties>
</file>