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503C" w14:textId="19FCE8C5" w:rsidR="00B07FA3" w:rsidRDefault="00B07FA3" w:rsidP="00B07FA3">
      <w:pPr>
        <w:spacing w:before="240" w:after="240" w:line="360" w:lineRule="auto"/>
        <w:jc w:val="both"/>
        <w:rPr>
          <w:rFonts w:ascii="Arial" w:eastAsia="Calibri" w:hAnsi="Arial" w:cs="Arial"/>
          <w:bCs/>
          <w:sz w:val="20"/>
          <w:szCs w:val="20"/>
          <w:lang w:eastAsia="fr-FR"/>
        </w:rPr>
      </w:pPr>
      <w:r>
        <w:rPr>
          <w:rFonts w:ascii="Arial" w:eastAsia="Calibri" w:hAnsi="Arial" w:cs="Arial"/>
          <w:bCs/>
          <w:sz w:val="20"/>
          <w:szCs w:val="20"/>
          <w:lang w:eastAsia="fr-FR"/>
        </w:rPr>
        <w:t>Proposition de rédaction de la délibération</w:t>
      </w:r>
    </w:p>
    <w:p w14:paraId="167A8E15" w14:textId="77777777" w:rsidR="00B07FA3" w:rsidRDefault="00B07FA3" w:rsidP="00B07FA3">
      <w:pPr>
        <w:spacing w:before="240" w:after="240" w:line="360" w:lineRule="auto"/>
        <w:jc w:val="both"/>
        <w:rPr>
          <w:rFonts w:ascii="Arial" w:eastAsia="Calibri" w:hAnsi="Arial" w:cs="Arial"/>
          <w:bCs/>
          <w:sz w:val="20"/>
          <w:szCs w:val="20"/>
          <w:lang w:eastAsia="fr-FR"/>
        </w:rPr>
      </w:pPr>
    </w:p>
    <w:p w14:paraId="540583A3" w14:textId="52937ED3" w:rsidR="00CF6555" w:rsidRPr="00471482" w:rsidRDefault="00B07FA3" w:rsidP="00CF6555">
      <w:pPr>
        <w:spacing w:before="240" w:after="240"/>
        <w:rPr>
          <w:rFonts w:ascii="Arial" w:hAnsi="Arial" w:cs="Arial"/>
          <w:sz w:val="20"/>
          <w:szCs w:val="20"/>
          <w:lang w:eastAsia="fr-FR"/>
        </w:rPr>
      </w:pPr>
      <w:r w:rsidRPr="00471482">
        <w:rPr>
          <w:rFonts w:ascii="Arial" w:eastAsia="Calibri" w:hAnsi="Arial" w:cs="Arial"/>
          <w:bCs/>
          <w:sz w:val="20"/>
          <w:szCs w:val="20"/>
          <w:lang w:eastAsia="fr-FR"/>
        </w:rPr>
        <w:t>La Collectivité confie depuis … au CDG</w:t>
      </w:r>
      <w:r w:rsidR="00C93CA3" w:rsidRPr="00471482">
        <w:rPr>
          <w:rFonts w:ascii="Arial" w:eastAsia="Calibri" w:hAnsi="Arial" w:cs="Arial"/>
          <w:bCs/>
          <w:sz w:val="20"/>
          <w:szCs w:val="20"/>
          <w:lang w:eastAsia="fr-FR"/>
        </w:rPr>
        <w:t xml:space="preserve">38 </w:t>
      </w:r>
      <w:r w:rsidR="00CF6555" w:rsidRPr="00471482">
        <w:rPr>
          <w:rFonts w:ascii="Arial" w:hAnsi="Arial" w:cs="Arial"/>
          <w:sz w:val="20"/>
          <w:szCs w:val="20"/>
          <w:lang w:eastAsia="fr-FR"/>
        </w:rPr>
        <w:t>le traitement dématérialisé des dossiers de retraite des agents concernés.</w:t>
      </w:r>
    </w:p>
    <w:p w14:paraId="742740F0" w14:textId="07ACF353" w:rsidR="00B07FA3" w:rsidRPr="00471482" w:rsidRDefault="00B07FA3" w:rsidP="00B07FA3">
      <w:pPr>
        <w:spacing w:before="240" w:after="240" w:line="360" w:lineRule="auto"/>
        <w:jc w:val="both"/>
        <w:rPr>
          <w:rFonts w:ascii="Arial" w:eastAsia="Calibri" w:hAnsi="Arial" w:cs="Arial"/>
          <w:bCs/>
          <w:sz w:val="20"/>
          <w:szCs w:val="20"/>
          <w:lang w:eastAsia="fr-FR"/>
        </w:rPr>
      </w:pPr>
      <w:r w:rsidRPr="00471482">
        <w:rPr>
          <w:rFonts w:ascii="Arial" w:eastAsia="Calibri" w:hAnsi="Arial" w:cs="Arial"/>
          <w:bCs/>
          <w:sz w:val="20"/>
          <w:szCs w:val="20"/>
          <w:lang w:eastAsia="fr-FR"/>
        </w:rPr>
        <w:t xml:space="preserve">Par délibération du </w:t>
      </w:r>
      <w:r w:rsidR="00CF6555" w:rsidRPr="00471482">
        <w:rPr>
          <w:rFonts w:ascii="Arial" w:eastAsia="Calibri" w:hAnsi="Arial" w:cs="Arial"/>
          <w:bCs/>
          <w:sz w:val="20"/>
          <w:szCs w:val="20"/>
          <w:lang w:eastAsia="fr-FR"/>
        </w:rPr>
        <w:t>13 octobre</w:t>
      </w:r>
      <w:r w:rsidRPr="00471482">
        <w:rPr>
          <w:rFonts w:ascii="Arial" w:eastAsia="Calibri" w:hAnsi="Arial" w:cs="Arial"/>
          <w:bCs/>
          <w:sz w:val="20"/>
          <w:szCs w:val="20"/>
          <w:lang w:eastAsia="fr-FR"/>
        </w:rPr>
        <w:t xml:space="preserve"> 2022</w:t>
      </w:r>
      <w:r w:rsidR="00E41E3E">
        <w:rPr>
          <w:rFonts w:ascii="Arial" w:eastAsia="Calibri" w:hAnsi="Arial" w:cs="Arial"/>
          <w:bCs/>
          <w:sz w:val="20"/>
          <w:szCs w:val="20"/>
          <w:lang w:eastAsia="fr-FR"/>
        </w:rPr>
        <w:t xml:space="preserve"> (modifiée le 30 novembre 2023)</w:t>
      </w:r>
      <w:r w:rsidRPr="00471482">
        <w:rPr>
          <w:rFonts w:ascii="Arial" w:eastAsia="Calibri" w:hAnsi="Arial" w:cs="Arial"/>
          <w:bCs/>
          <w:sz w:val="20"/>
          <w:szCs w:val="20"/>
          <w:lang w:eastAsia="fr-FR"/>
        </w:rPr>
        <w:t xml:space="preserve">, le conseil d’administration du CDG38 a </w:t>
      </w:r>
      <w:r w:rsidR="00CF6555" w:rsidRPr="00471482">
        <w:rPr>
          <w:rFonts w:ascii="Arial" w:eastAsia="Calibri" w:hAnsi="Arial" w:cs="Arial"/>
          <w:bCs/>
          <w:sz w:val="20"/>
          <w:szCs w:val="20"/>
          <w:lang w:eastAsia="fr-FR"/>
        </w:rPr>
        <w:t xml:space="preserve">mis en place des </w:t>
      </w:r>
      <w:r w:rsidRPr="00471482">
        <w:rPr>
          <w:rFonts w:ascii="Arial" w:eastAsia="Calibri" w:hAnsi="Arial" w:cs="Arial"/>
          <w:bCs/>
          <w:sz w:val="20"/>
          <w:szCs w:val="20"/>
          <w:lang w:eastAsia="fr-FR"/>
        </w:rPr>
        <w:t>modalités de conventionnement (cf. projet de convention joint) avec notamment</w:t>
      </w:r>
      <w:r w:rsidR="00CF6555" w:rsidRPr="00471482">
        <w:rPr>
          <w:rFonts w:ascii="Arial" w:eastAsia="Calibri" w:hAnsi="Arial" w:cs="Arial"/>
          <w:bCs/>
          <w:sz w:val="20"/>
          <w:szCs w:val="20"/>
          <w:lang w:eastAsia="fr-FR"/>
        </w:rPr>
        <w:t>, une tarification des prestations ne rentrant pas dans ses missions obligatoires</w:t>
      </w:r>
      <w:r w:rsidRPr="00471482">
        <w:rPr>
          <w:rFonts w:ascii="Arial" w:eastAsia="Calibri" w:hAnsi="Arial" w:cs="Arial"/>
          <w:bCs/>
          <w:sz w:val="20"/>
          <w:szCs w:val="20"/>
          <w:lang w:eastAsia="fr-FR"/>
        </w:rPr>
        <w:t> :</w:t>
      </w:r>
    </w:p>
    <w:p w14:paraId="353E308A" w14:textId="77777777" w:rsidR="00CF6555" w:rsidRPr="00471482" w:rsidRDefault="00CF6555" w:rsidP="00CF6555">
      <w:pPr>
        <w:pStyle w:val="Paragraphedeliste"/>
        <w:numPr>
          <w:ilvl w:val="0"/>
          <w:numId w:val="2"/>
        </w:numPr>
        <w:spacing w:after="200" w:line="276" w:lineRule="auto"/>
        <w:rPr>
          <w:rFonts w:cs="Arial"/>
          <w:sz w:val="20"/>
          <w:szCs w:val="20"/>
        </w:rPr>
      </w:pPr>
      <w:r w:rsidRPr="00471482">
        <w:rPr>
          <w:rFonts w:cs="Arial"/>
          <w:sz w:val="20"/>
          <w:szCs w:val="20"/>
        </w:rPr>
        <w:t>500€ pour la réalisation complète d’un dossier de liquidation (sans APR préalable)</w:t>
      </w:r>
    </w:p>
    <w:p w14:paraId="2DD8E910" w14:textId="6A7749D9" w:rsidR="00CF6555" w:rsidRDefault="00CF6555" w:rsidP="00CF6555">
      <w:pPr>
        <w:pStyle w:val="Paragraphedeliste"/>
        <w:numPr>
          <w:ilvl w:val="0"/>
          <w:numId w:val="2"/>
        </w:numPr>
        <w:spacing w:after="200" w:line="276" w:lineRule="auto"/>
        <w:rPr>
          <w:rFonts w:cs="Arial"/>
          <w:sz w:val="20"/>
          <w:szCs w:val="20"/>
        </w:rPr>
      </w:pPr>
      <w:r w:rsidRPr="00471482">
        <w:rPr>
          <w:rFonts w:cs="Arial"/>
          <w:sz w:val="20"/>
          <w:szCs w:val="20"/>
        </w:rPr>
        <w:t>250€ pour la réalisation complète d’un dossier de liquidation (avec APR</w:t>
      </w:r>
      <w:r w:rsidR="00124C38">
        <w:rPr>
          <w:rFonts w:cs="Arial"/>
          <w:sz w:val="20"/>
          <w:szCs w:val="20"/>
        </w:rPr>
        <w:t xml:space="preserve">, </w:t>
      </w:r>
      <w:r w:rsidRPr="00471482">
        <w:rPr>
          <w:rFonts w:cs="Arial"/>
          <w:sz w:val="20"/>
          <w:szCs w:val="20"/>
        </w:rPr>
        <w:t>DAP</w:t>
      </w:r>
      <w:r w:rsidR="00124C38">
        <w:rPr>
          <w:rFonts w:cs="Arial"/>
          <w:sz w:val="20"/>
          <w:szCs w:val="20"/>
        </w:rPr>
        <w:t xml:space="preserve"> ou liquidation partielle préalable</w:t>
      </w:r>
      <w:r w:rsidRPr="00471482">
        <w:rPr>
          <w:rFonts w:cs="Arial"/>
          <w:sz w:val="20"/>
          <w:szCs w:val="20"/>
        </w:rPr>
        <w:t>)</w:t>
      </w:r>
    </w:p>
    <w:p w14:paraId="577EDF82" w14:textId="68F5EF1B" w:rsidR="00124C38" w:rsidRPr="00471482" w:rsidRDefault="00124C38" w:rsidP="00CF6555">
      <w:pPr>
        <w:pStyle w:val="Paragraphedeliste"/>
        <w:numPr>
          <w:ilvl w:val="0"/>
          <w:numId w:val="2"/>
        </w:numPr>
        <w:spacing w:after="200" w:line="276" w:lineRule="auto"/>
        <w:rPr>
          <w:rFonts w:cs="Arial"/>
          <w:sz w:val="20"/>
          <w:szCs w:val="20"/>
        </w:rPr>
      </w:pPr>
      <w:r w:rsidRPr="00124C38">
        <w:rPr>
          <w:rFonts w:cs="Arial"/>
          <w:sz w:val="20"/>
          <w:szCs w:val="20"/>
        </w:rPr>
        <w:t>250€</w:t>
      </w:r>
      <w:r>
        <w:rPr>
          <w:rFonts w:cs="Arial"/>
          <w:sz w:val="20"/>
          <w:szCs w:val="20"/>
        </w:rPr>
        <w:t xml:space="preserve"> pour la r</w:t>
      </w:r>
      <w:r w:rsidRPr="00124C38">
        <w:rPr>
          <w:rFonts w:cs="Arial"/>
          <w:sz w:val="20"/>
          <w:szCs w:val="20"/>
        </w:rPr>
        <w:t>éalisation d'un dossier de liquidation partielle dans le cadre d'une retraite progressive</w:t>
      </w:r>
      <w:r>
        <w:rPr>
          <w:rFonts w:cs="Arial"/>
          <w:sz w:val="20"/>
          <w:szCs w:val="20"/>
        </w:rPr>
        <w:t xml:space="preserve"> </w:t>
      </w:r>
    </w:p>
    <w:p w14:paraId="7571D6DD" w14:textId="77777777" w:rsidR="00CF6555" w:rsidRPr="00471482" w:rsidRDefault="00CF6555" w:rsidP="00CF6555">
      <w:pPr>
        <w:pStyle w:val="Paragraphedeliste"/>
        <w:numPr>
          <w:ilvl w:val="0"/>
          <w:numId w:val="2"/>
        </w:numPr>
        <w:spacing w:after="200" w:line="276" w:lineRule="auto"/>
        <w:rPr>
          <w:rFonts w:cs="Arial"/>
          <w:sz w:val="20"/>
          <w:szCs w:val="20"/>
        </w:rPr>
      </w:pPr>
      <w:r w:rsidRPr="00471482">
        <w:rPr>
          <w:rFonts w:cs="Arial"/>
          <w:sz w:val="20"/>
          <w:szCs w:val="20"/>
        </w:rPr>
        <w:t>250€ pour DAP en réalisation totale ne peut être réalisée qu’un an avant le départ effectif de l’agent</w:t>
      </w:r>
    </w:p>
    <w:p w14:paraId="2B4CC423" w14:textId="77777777" w:rsidR="00CF6555" w:rsidRPr="00471482" w:rsidRDefault="00CF6555" w:rsidP="00CF6555">
      <w:pPr>
        <w:pStyle w:val="Paragraphedeliste"/>
        <w:numPr>
          <w:ilvl w:val="0"/>
          <w:numId w:val="2"/>
        </w:numPr>
        <w:spacing w:after="200" w:line="276" w:lineRule="auto"/>
        <w:rPr>
          <w:rFonts w:cs="Arial"/>
          <w:sz w:val="20"/>
          <w:szCs w:val="20"/>
        </w:rPr>
      </w:pPr>
      <w:r w:rsidRPr="00471482">
        <w:rPr>
          <w:rFonts w:cs="Arial"/>
          <w:sz w:val="20"/>
          <w:szCs w:val="20"/>
        </w:rPr>
        <w:t xml:space="preserve">125€ pour DAP en contrôle </w:t>
      </w:r>
    </w:p>
    <w:p w14:paraId="3B0D4343" w14:textId="77777777" w:rsidR="00CF6555" w:rsidRPr="00471482" w:rsidRDefault="00CF6555" w:rsidP="00CF6555">
      <w:pPr>
        <w:pStyle w:val="Paragraphedeliste"/>
        <w:numPr>
          <w:ilvl w:val="0"/>
          <w:numId w:val="2"/>
        </w:numPr>
        <w:spacing w:after="200" w:line="276" w:lineRule="auto"/>
        <w:rPr>
          <w:rFonts w:cs="Arial"/>
          <w:sz w:val="20"/>
          <w:szCs w:val="20"/>
        </w:rPr>
      </w:pPr>
      <w:r w:rsidRPr="00471482">
        <w:rPr>
          <w:rFonts w:cs="Arial"/>
          <w:sz w:val="20"/>
          <w:szCs w:val="20"/>
        </w:rPr>
        <w:t>250€ pour la réalisation d’un dossier d’APR (études préalables à la liquidation qui facilitent la réalisation du dossier de liquidation lors du départ effectif de l’agent et fiabilise le compte individuel retraite)</w:t>
      </w:r>
    </w:p>
    <w:p w14:paraId="06DA454C" w14:textId="77777777" w:rsidR="00CF6555" w:rsidRDefault="00CF6555" w:rsidP="00CF6555">
      <w:pPr>
        <w:pStyle w:val="Paragraphedeliste"/>
        <w:numPr>
          <w:ilvl w:val="0"/>
          <w:numId w:val="2"/>
        </w:numPr>
        <w:spacing w:after="200" w:line="276" w:lineRule="auto"/>
        <w:rPr>
          <w:rFonts w:cs="Arial"/>
          <w:sz w:val="20"/>
          <w:szCs w:val="20"/>
        </w:rPr>
      </w:pPr>
      <w:r w:rsidRPr="00471482">
        <w:rPr>
          <w:rFonts w:cs="Arial"/>
          <w:sz w:val="20"/>
          <w:szCs w:val="20"/>
        </w:rPr>
        <w:t>250€ pour le contrôle du dossier avant liquidation</w:t>
      </w:r>
    </w:p>
    <w:p w14:paraId="2F6DF0AD" w14:textId="32CEFEF0" w:rsidR="00124C38" w:rsidRPr="00471482" w:rsidRDefault="00D91799" w:rsidP="00CF6555">
      <w:pPr>
        <w:pStyle w:val="Paragraphedeliste"/>
        <w:numPr>
          <w:ilvl w:val="0"/>
          <w:numId w:val="2"/>
        </w:numPr>
        <w:spacing w:after="200" w:line="276" w:lineRule="auto"/>
        <w:rPr>
          <w:rFonts w:cs="Arial"/>
          <w:sz w:val="20"/>
          <w:szCs w:val="20"/>
        </w:rPr>
      </w:pPr>
      <w:r w:rsidRPr="00124C38">
        <w:rPr>
          <w:rFonts w:cs="Arial"/>
          <w:sz w:val="20"/>
          <w:szCs w:val="20"/>
        </w:rPr>
        <w:t>125€</w:t>
      </w:r>
      <w:r>
        <w:rPr>
          <w:rFonts w:cs="Arial"/>
          <w:sz w:val="20"/>
          <w:szCs w:val="20"/>
        </w:rPr>
        <w:t xml:space="preserve"> pour le </w:t>
      </w:r>
      <w:r w:rsidR="00124C38">
        <w:rPr>
          <w:rFonts w:cs="Arial"/>
          <w:sz w:val="20"/>
          <w:szCs w:val="20"/>
        </w:rPr>
        <w:t>c</w:t>
      </w:r>
      <w:r w:rsidR="00124C38" w:rsidRPr="00124C38">
        <w:rPr>
          <w:rFonts w:cs="Arial"/>
          <w:sz w:val="20"/>
          <w:szCs w:val="20"/>
        </w:rPr>
        <w:t>ontrôle d'un dossier de liquidation partielle dans le cadre d'une retraite progressive</w:t>
      </w:r>
    </w:p>
    <w:p w14:paraId="7EA133EC" w14:textId="77777777" w:rsidR="00CF6555" w:rsidRPr="00471482" w:rsidRDefault="00CF6555" w:rsidP="00CF6555">
      <w:pPr>
        <w:pStyle w:val="Paragraphedeliste"/>
        <w:numPr>
          <w:ilvl w:val="0"/>
          <w:numId w:val="2"/>
        </w:numPr>
        <w:spacing w:after="200" w:line="276" w:lineRule="auto"/>
        <w:rPr>
          <w:rFonts w:cs="Arial"/>
          <w:sz w:val="20"/>
          <w:szCs w:val="20"/>
        </w:rPr>
      </w:pPr>
      <w:r w:rsidRPr="00471482">
        <w:rPr>
          <w:rFonts w:cs="Arial"/>
          <w:sz w:val="20"/>
          <w:szCs w:val="20"/>
        </w:rPr>
        <w:t>125€ pour le contrôle d’une estimation de pension</w:t>
      </w:r>
    </w:p>
    <w:p w14:paraId="0951D13C" w14:textId="77777777" w:rsidR="00CF6555" w:rsidRPr="00471482" w:rsidRDefault="00CF6555" w:rsidP="00CF6555">
      <w:pPr>
        <w:pStyle w:val="Paragraphedeliste"/>
        <w:numPr>
          <w:ilvl w:val="0"/>
          <w:numId w:val="2"/>
        </w:numPr>
        <w:spacing w:after="200" w:line="276" w:lineRule="auto"/>
        <w:rPr>
          <w:rFonts w:cs="Arial"/>
          <w:sz w:val="20"/>
          <w:szCs w:val="20"/>
        </w:rPr>
      </w:pPr>
      <w:r w:rsidRPr="00471482">
        <w:rPr>
          <w:rFonts w:cs="Arial"/>
          <w:sz w:val="20"/>
          <w:szCs w:val="20"/>
        </w:rPr>
        <w:t>250€ pour les dossiers de régularisation de cotisations et de rétablissement au régime général.</w:t>
      </w:r>
    </w:p>
    <w:p w14:paraId="72715524" w14:textId="227C1101" w:rsidR="00B07FA3" w:rsidRPr="00471482" w:rsidRDefault="00B07FA3" w:rsidP="00B07FA3">
      <w:pPr>
        <w:spacing w:before="240" w:after="240" w:line="360" w:lineRule="auto"/>
        <w:jc w:val="both"/>
        <w:rPr>
          <w:rFonts w:ascii="Arial" w:eastAsia="Calibri" w:hAnsi="Arial" w:cs="Arial"/>
          <w:bCs/>
          <w:sz w:val="20"/>
          <w:szCs w:val="20"/>
          <w:lang w:eastAsia="fr-FR"/>
        </w:rPr>
      </w:pPr>
      <w:r w:rsidRPr="00471482">
        <w:rPr>
          <w:rFonts w:ascii="Arial" w:eastAsia="Calibri" w:hAnsi="Arial" w:cs="Arial"/>
          <w:bCs/>
          <w:sz w:val="20"/>
          <w:szCs w:val="20"/>
          <w:lang w:eastAsia="fr-FR"/>
        </w:rPr>
        <w:t>Il est rappelé l’étendue des prestations du CDG38</w:t>
      </w:r>
      <w:r w:rsidR="00CF6555" w:rsidRPr="00471482">
        <w:rPr>
          <w:rFonts w:ascii="Arial" w:eastAsia="Calibri" w:hAnsi="Arial" w:cs="Arial"/>
          <w:bCs/>
          <w:sz w:val="20"/>
          <w:szCs w:val="20"/>
          <w:lang w:eastAsia="fr-FR"/>
        </w:rPr>
        <w:t xml:space="preserve">, en plus des </w:t>
      </w:r>
      <w:r w:rsidR="00CF6555" w:rsidRPr="00471482">
        <w:rPr>
          <w:rFonts w:ascii="Arial" w:hAnsi="Arial" w:cs="Arial"/>
          <w:sz w:val="20"/>
          <w:szCs w:val="20"/>
          <w:lang w:eastAsia="fr-FR"/>
        </w:rPr>
        <w:t>missions obligatoires de fiabilisation des comptes individuels retraite</w:t>
      </w:r>
      <w:r w:rsidRPr="00471482">
        <w:rPr>
          <w:rFonts w:ascii="Arial" w:eastAsia="Calibri" w:hAnsi="Arial" w:cs="Arial"/>
          <w:bCs/>
          <w:sz w:val="20"/>
          <w:szCs w:val="20"/>
          <w:lang w:eastAsia="fr-FR"/>
        </w:rPr>
        <w:t> :</w:t>
      </w:r>
    </w:p>
    <w:p w14:paraId="6765E490" w14:textId="77777777" w:rsidR="00CF6555" w:rsidRPr="00471482" w:rsidRDefault="00CF6555" w:rsidP="00CF6555">
      <w:pPr>
        <w:pStyle w:val="Paragraphedeliste"/>
        <w:numPr>
          <w:ilvl w:val="0"/>
          <w:numId w:val="3"/>
        </w:numPr>
        <w:spacing w:before="240" w:after="240"/>
        <w:rPr>
          <w:rFonts w:cs="Arial"/>
          <w:sz w:val="20"/>
          <w:szCs w:val="20"/>
          <w:lang w:eastAsia="fr-FR"/>
        </w:rPr>
      </w:pPr>
      <w:r w:rsidRPr="00471482">
        <w:rPr>
          <w:rFonts w:cs="Arial"/>
          <w:sz w:val="20"/>
          <w:szCs w:val="20"/>
          <w:lang w:eastAsia="fr-FR"/>
        </w:rPr>
        <w:t>L’information aux collectivités sur la réglementation ; animation de séances d’information et publication des notes d’information de la CNRACL</w:t>
      </w:r>
    </w:p>
    <w:p w14:paraId="4AFE460C" w14:textId="77777777" w:rsidR="00CF6555" w:rsidRPr="00471482" w:rsidRDefault="00CF6555" w:rsidP="00CF6555">
      <w:pPr>
        <w:pStyle w:val="Paragraphedeliste"/>
        <w:numPr>
          <w:ilvl w:val="0"/>
          <w:numId w:val="3"/>
        </w:numPr>
        <w:spacing w:before="240" w:after="240"/>
        <w:rPr>
          <w:rFonts w:cs="Arial"/>
          <w:sz w:val="20"/>
          <w:szCs w:val="20"/>
          <w:lang w:eastAsia="fr-FR"/>
        </w:rPr>
      </w:pPr>
      <w:r w:rsidRPr="00471482">
        <w:rPr>
          <w:rFonts w:cs="Arial"/>
          <w:sz w:val="20"/>
          <w:szCs w:val="20"/>
          <w:lang w:eastAsia="fr-FR"/>
        </w:rPr>
        <w:t>Le conseil des collectivités sur la réglementation retraite</w:t>
      </w:r>
    </w:p>
    <w:p w14:paraId="17D21D1E" w14:textId="77777777" w:rsidR="00CF6555" w:rsidRPr="00471482" w:rsidRDefault="00CF6555" w:rsidP="00CF6555">
      <w:pPr>
        <w:pStyle w:val="Paragraphedeliste"/>
        <w:numPr>
          <w:ilvl w:val="0"/>
          <w:numId w:val="3"/>
        </w:numPr>
        <w:spacing w:before="240" w:after="240"/>
        <w:rPr>
          <w:rFonts w:cs="Arial"/>
          <w:sz w:val="20"/>
          <w:szCs w:val="20"/>
          <w:lang w:eastAsia="fr-FR"/>
        </w:rPr>
      </w:pPr>
      <w:r w:rsidRPr="00471482">
        <w:rPr>
          <w:rFonts w:cs="Arial"/>
          <w:sz w:val="20"/>
          <w:szCs w:val="20"/>
          <w:lang w:eastAsia="fr-FR"/>
        </w:rPr>
        <w:t xml:space="preserve">La réalisation de la prestation APR ; accompagnement personnalisé à la retraite : </w:t>
      </w:r>
    </w:p>
    <w:p w14:paraId="72B3CACE" w14:textId="77777777" w:rsidR="00CF6555" w:rsidRPr="00471482" w:rsidRDefault="00CF6555" w:rsidP="00CF6555">
      <w:pPr>
        <w:pStyle w:val="Paragraphedeliste"/>
        <w:numPr>
          <w:ilvl w:val="0"/>
          <w:numId w:val="3"/>
        </w:numPr>
        <w:spacing w:before="240" w:after="240"/>
        <w:rPr>
          <w:rFonts w:cs="Arial"/>
          <w:sz w:val="20"/>
          <w:szCs w:val="20"/>
          <w:lang w:eastAsia="fr-FR"/>
        </w:rPr>
      </w:pPr>
      <w:r w:rsidRPr="00471482">
        <w:rPr>
          <w:rFonts w:cs="Arial"/>
          <w:sz w:val="20"/>
          <w:szCs w:val="20"/>
          <w:lang w:eastAsia="fr-FR"/>
        </w:rPr>
        <w:t>Le conseil sur la constitution des dossiers</w:t>
      </w:r>
    </w:p>
    <w:p w14:paraId="767848E7" w14:textId="77777777" w:rsidR="00CF6555" w:rsidRPr="00471482" w:rsidRDefault="00CF6555" w:rsidP="00CF6555">
      <w:pPr>
        <w:pStyle w:val="Paragraphedeliste"/>
        <w:numPr>
          <w:ilvl w:val="0"/>
          <w:numId w:val="3"/>
        </w:numPr>
        <w:spacing w:before="240" w:after="240"/>
        <w:rPr>
          <w:rFonts w:cs="Arial"/>
          <w:sz w:val="20"/>
          <w:szCs w:val="20"/>
          <w:lang w:eastAsia="fr-FR"/>
        </w:rPr>
      </w:pPr>
      <w:r w:rsidRPr="00471482">
        <w:rPr>
          <w:rFonts w:cs="Arial"/>
          <w:sz w:val="20"/>
          <w:szCs w:val="20"/>
          <w:lang w:eastAsia="fr-FR"/>
        </w:rPr>
        <w:t>Le contrôle et le suivi des dossiers :</w:t>
      </w:r>
    </w:p>
    <w:p w14:paraId="7F91C0B9"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 xml:space="preserve">Vérification des Dossiers de retraite (liquidation) : </w:t>
      </w:r>
    </w:p>
    <w:p w14:paraId="159B6E53"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 xml:space="preserve"> Retraite normale (âge légal)</w:t>
      </w:r>
    </w:p>
    <w:p w14:paraId="06E41609"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Pension de réversion</w:t>
      </w:r>
    </w:p>
    <w:p w14:paraId="772E0D5D"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Limite d’âge</w:t>
      </w:r>
    </w:p>
    <w:p w14:paraId="3CC3AE88"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Parents de 3 enfants</w:t>
      </w:r>
    </w:p>
    <w:p w14:paraId="3A0B7A16"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Catégorie Active</w:t>
      </w:r>
    </w:p>
    <w:p w14:paraId="6557804C"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Conjoint invalide</w:t>
      </w:r>
    </w:p>
    <w:p w14:paraId="68E1C96F"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Enfant invalide</w:t>
      </w:r>
    </w:p>
    <w:p w14:paraId="38F9A1C2"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Fonctionnaire handicapé</w:t>
      </w:r>
    </w:p>
    <w:p w14:paraId="5BBF61AC"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lastRenderedPageBreak/>
        <w:t xml:space="preserve">Vérification des dossiers préalables à la retraite </w:t>
      </w:r>
    </w:p>
    <w:p w14:paraId="5812E74A" w14:textId="77777777" w:rsidR="00CF6555" w:rsidRPr="00471482" w:rsidRDefault="00CF6555" w:rsidP="00CF6555">
      <w:pPr>
        <w:pStyle w:val="Paragraphedeliste"/>
        <w:numPr>
          <w:ilvl w:val="2"/>
          <w:numId w:val="3"/>
        </w:numPr>
        <w:spacing w:before="240" w:after="240"/>
        <w:rPr>
          <w:rFonts w:cs="Arial"/>
          <w:sz w:val="20"/>
          <w:szCs w:val="20"/>
          <w:lang w:eastAsia="fr-FR"/>
        </w:rPr>
      </w:pPr>
      <w:r w:rsidRPr="00471482">
        <w:rPr>
          <w:rFonts w:cs="Arial"/>
          <w:sz w:val="20"/>
          <w:szCs w:val="20"/>
          <w:lang w:eastAsia="fr-FR"/>
        </w:rPr>
        <w:t xml:space="preserve">Qualification du Compte Individuel Retraite (QCIR) </w:t>
      </w:r>
    </w:p>
    <w:p w14:paraId="683FD99F" w14:textId="77777777" w:rsidR="00CF6555" w:rsidRPr="00471482" w:rsidRDefault="00CF6555" w:rsidP="00CF6555">
      <w:pPr>
        <w:pStyle w:val="Paragraphedeliste"/>
        <w:numPr>
          <w:ilvl w:val="2"/>
          <w:numId w:val="3"/>
        </w:numPr>
        <w:spacing w:before="240" w:after="240"/>
        <w:rPr>
          <w:rFonts w:cs="Arial"/>
          <w:sz w:val="20"/>
          <w:szCs w:val="20"/>
          <w:lang w:eastAsia="fr-FR"/>
        </w:rPr>
      </w:pPr>
      <w:r w:rsidRPr="00471482">
        <w:rPr>
          <w:rFonts w:cs="Arial"/>
          <w:sz w:val="20"/>
          <w:szCs w:val="20"/>
          <w:lang w:eastAsia="fr-FR"/>
        </w:rPr>
        <w:t xml:space="preserve">Estimation Indicative Globale </w:t>
      </w:r>
    </w:p>
    <w:p w14:paraId="748C9D7F" w14:textId="77777777" w:rsidR="00CF6555" w:rsidRPr="00471482" w:rsidRDefault="00CF6555" w:rsidP="00CF6555">
      <w:pPr>
        <w:pStyle w:val="Paragraphedeliste"/>
        <w:numPr>
          <w:ilvl w:val="2"/>
          <w:numId w:val="3"/>
        </w:numPr>
        <w:spacing w:before="240" w:after="240"/>
        <w:rPr>
          <w:rFonts w:cs="Arial"/>
          <w:sz w:val="20"/>
          <w:szCs w:val="20"/>
          <w:lang w:eastAsia="fr-FR"/>
        </w:rPr>
      </w:pPr>
      <w:r w:rsidRPr="00471482">
        <w:rPr>
          <w:rFonts w:cs="Arial"/>
          <w:sz w:val="20"/>
          <w:szCs w:val="20"/>
          <w:lang w:eastAsia="fr-FR"/>
        </w:rPr>
        <w:t>Dossiers de demande d’avis préalables</w:t>
      </w:r>
    </w:p>
    <w:p w14:paraId="51831130"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Validation de service</w:t>
      </w:r>
    </w:p>
    <w:p w14:paraId="2C37489D"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 xml:space="preserve">Régularisation de cotisation </w:t>
      </w:r>
    </w:p>
    <w:p w14:paraId="5FE97145" w14:textId="77777777" w:rsidR="00CF6555" w:rsidRPr="00471482" w:rsidRDefault="00CF6555" w:rsidP="00CF6555">
      <w:pPr>
        <w:pStyle w:val="Paragraphedeliste"/>
        <w:numPr>
          <w:ilvl w:val="1"/>
          <w:numId w:val="3"/>
        </w:numPr>
        <w:spacing w:before="240" w:after="240"/>
        <w:rPr>
          <w:rFonts w:cs="Arial"/>
          <w:sz w:val="20"/>
          <w:szCs w:val="20"/>
          <w:lang w:eastAsia="fr-FR"/>
        </w:rPr>
      </w:pPr>
      <w:r w:rsidRPr="00471482">
        <w:rPr>
          <w:rFonts w:cs="Arial"/>
          <w:sz w:val="20"/>
          <w:szCs w:val="20"/>
          <w:lang w:eastAsia="fr-FR"/>
        </w:rPr>
        <w:t>Rétablissement au régime général</w:t>
      </w:r>
    </w:p>
    <w:p w14:paraId="19AB53CA" w14:textId="77777777" w:rsidR="00CF6555" w:rsidRPr="00471482" w:rsidRDefault="00CF6555" w:rsidP="00CF6555">
      <w:pPr>
        <w:pStyle w:val="Paragraphedeliste"/>
        <w:numPr>
          <w:ilvl w:val="0"/>
          <w:numId w:val="3"/>
        </w:numPr>
        <w:spacing w:before="240" w:after="240"/>
        <w:rPr>
          <w:rFonts w:cs="Arial"/>
          <w:sz w:val="20"/>
          <w:szCs w:val="20"/>
          <w:lang w:eastAsia="fr-FR"/>
        </w:rPr>
      </w:pPr>
      <w:r w:rsidRPr="00471482">
        <w:rPr>
          <w:rFonts w:cs="Arial"/>
          <w:sz w:val="20"/>
          <w:szCs w:val="20"/>
          <w:lang w:eastAsia="fr-FR"/>
        </w:rPr>
        <w:t>La réalisation des dossiers : contrôle de la carrière, saisie du dossier de liquidation, et demande d’avis préalable ; contrôle de la carrière et saisie du Compte Individuel Retraite.</w:t>
      </w:r>
    </w:p>
    <w:p w14:paraId="036FEFEF" w14:textId="77777777" w:rsidR="00B07FA3" w:rsidRPr="00471482" w:rsidRDefault="00B07FA3" w:rsidP="00B07FA3">
      <w:pPr>
        <w:spacing w:after="0" w:line="360" w:lineRule="auto"/>
        <w:ind w:left="720"/>
        <w:contextualSpacing/>
        <w:jc w:val="both"/>
        <w:rPr>
          <w:rFonts w:ascii="Arial" w:eastAsia="Calibri" w:hAnsi="Arial" w:cs="Arial"/>
          <w:bCs/>
          <w:sz w:val="20"/>
          <w:szCs w:val="20"/>
          <w:lang w:eastAsia="fr-FR"/>
        </w:rPr>
      </w:pPr>
    </w:p>
    <w:p w14:paraId="5E8A29E3" w14:textId="77777777" w:rsidR="00CF6555" w:rsidRPr="00471482" w:rsidRDefault="00CF6555" w:rsidP="00CF6555">
      <w:pPr>
        <w:rPr>
          <w:rFonts w:ascii="Arial" w:hAnsi="Arial" w:cs="Arial"/>
          <w:sz w:val="20"/>
          <w:szCs w:val="20"/>
        </w:rPr>
      </w:pPr>
      <w:r w:rsidRPr="00471482">
        <w:rPr>
          <w:rFonts w:ascii="Arial" w:hAnsi="Arial" w:cs="Arial"/>
          <w:sz w:val="20"/>
          <w:szCs w:val="20"/>
        </w:rPr>
        <w:t>La collectivité s’engage à adresser les demandes d’études de dossiers de liquidation dans un délai raisonnable qui ne peut être inférieur à 6 mois avant la date de radiation des cadres.</w:t>
      </w:r>
    </w:p>
    <w:p w14:paraId="7575E3AC" w14:textId="77777777" w:rsidR="00CF6555" w:rsidRPr="00471482" w:rsidRDefault="00CF6555" w:rsidP="00CF6555">
      <w:pPr>
        <w:rPr>
          <w:rFonts w:ascii="Arial" w:hAnsi="Arial" w:cs="Arial"/>
          <w:sz w:val="20"/>
          <w:szCs w:val="20"/>
        </w:rPr>
      </w:pPr>
      <w:r w:rsidRPr="00471482">
        <w:rPr>
          <w:rFonts w:ascii="Arial" w:hAnsi="Arial" w:cs="Arial"/>
          <w:sz w:val="20"/>
          <w:szCs w:val="20"/>
        </w:rPr>
        <w:t>Toute demande d’APR devra être faite au minimum 12 mois avant le départ effectif de l’agent.</w:t>
      </w:r>
    </w:p>
    <w:p w14:paraId="46AC2124" w14:textId="77777777" w:rsidR="00CF6555" w:rsidRPr="00471482" w:rsidRDefault="00CF6555" w:rsidP="00CF6555">
      <w:pPr>
        <w:rPr>
          <w:rFonts w:ascii="Arial" w:hAnsi="Arial" w:cs="Arial"/>
          <w:sz w:val="20"/>
          <w:szCs w:val="20"/>
        </w:rPr>
      </w:pPr>
      <w:r w:rsidRPr="00471482">
        <w:rPr>
          <w:rFonts w:ascii="Arial" w:hAnsi="Arial" w:cs="Arial"/>
          <w:sz w:val="20"/>
          <w:szCs w:val="20"/>
        </w:rPr>
        <w:t>Un formulaire de saisine complétée et signée (modèle joint) devra être rempli par la collectivité en y joignant toutes les pièces demandées :</w:t>
      </w:r>
    </w:p>
    <w:p w14:paraId="54802C08" w14:textId="29953C4A" w:rsidR="00CF6555" w:rsidRPr="00471482" w:rsidRDefault="00CF6555" w:rsidP="00CF6555">
      <w:pPr>
        <w:rPr>
          <w:rFonts w:ascii="Arial" w:hAnsi="Arial" w:cs="Arial"/>
          <w:sz w:val="20"/>
          <w:szCs w:val="20"/>
        </w:rPr>
      </w:pPr>
      <w:r w:rsidRPr="00471482">
        <w:rPr>
          <w:rFonts w:ascii="Arial" w:hAnsi="Arial" w:cs="Arial"/>
          <w:sz w:val="20"/>
          <w:szCs w:val="20"/>
        </w:rPr>
        <w:t>La collectivité s’engage à transmettre au CDG</w:t>
      </w:r>
      <w:r w:rsidR="005230FF">
        <w:rPr>
          <w:rFonts w:ascii="Arial" w:hAnsi="Arial" w:cs="Arial"/>
          <w:sz w:val="20"/>
          <w:szCs w:val="20"/>
        </w:rPr>
        <w:t>38</w:t>
      </w:r>
      <w:r w:rsidRPr="00471482">
        <w:rPr>
          <w:rFonts w:ascii="Arial" w:hAnsi="Arial" w:cs="Arial"/>
          <w:sz w:val="20"/>
          <w:szCs w:val="20"/>
        </w:rPr>
        <w:t xml:space="preserve"> tous les justificatifs nécessaires à la réalisation de sa mission.</w:t>
      </w:r>
    </w:p>
    <w:p w14:paraId="54261376" w14:textId="77777777" w:rsidR="00CF6555" w:rsidRPr="00471482" w:rsidRDefault="00CF6555" w:rsidP="00CF6555">
      <w:pPr>
        <w:rPr>
          <w:rFonts w:ascii="Arial" w:hAnsi="Arial" w:cs="Arial"/>
          <w:sz w:val="20"/>
          <w:szCs w:val="20"/>
        </w:rPr>
      </w:pPr>
      <w:r w:rsidRPr="00471482">
        <w:rPr>
          <w:rFonts w:ascii="Arial" w:hAnsi="Arial" w:cs="Arial"/>
          <w:sz w:val="20"/>
          <w:szCs w:val="20"/>
        </w:rPr>
        <w:t>La collectivité et le Centre de gestion s’engagent à utiliser la plate-forme PEP’S de la CNRACL pour tous les processus dématérialisés.</w:t>
      </w:r>
    </w:p>
    <w:p w14:paraId="53C56690" w14:textId="77777777" w:rsidR="00CF6555" w:rsidRPr="00471482" w:rsidRDefault="00CF6555" w:rsidP="00CF6555">
      <w:pPr>
        <w:rPr>
          <w:rFonts w:ascii="Arial" w:hAnsi="Arial" w:cs="Arial"/>
          <w:sz w:val="20"/>
          <w:szCs w:val="20"/>
        </w:rPr>
      </w:pPr>
      <w:r w:rsidRPr="00471482">
        <w:rPr>
          <w:rFonts w:ascii="Arial" w:hAnsi="Arial" w:cs="Arial"/>
          <w:sz w:val="20"/>
          <w:szCs w:val="20"/>
        </w:rPr>
        <w:t>Le CDG38 vérifie la qualité des informations fournies par et sous la responsabilité de la collectivité. Dans la mesure où la recevabilité des demandes et l’attribution des droits au regard de la réglementation des retraites restent de la compétence de la Caisse des Dépôts, la collectivité ne saurait engager la responsabilité du CDG38 de quelque manière que ce soit.</w:t>
      </w:r>
    </w:p>
    <w:p w14:paraId="56FC9434" w14:textId="4441BF28" w:rsidR="00CF6555" w:rsidRPr="00471482" w:rsidRDefault="00CF6555" w:rsidP="00CF6555">
      <w:pPr>
        <w:rPr>
          <w:rFonts w:ascii="Arial" w:hAnsi="Arial" w:cs="Arial"/>
          <w:sz w:val="20"/>
          <w:szCs w:val="20"/>
        </w:rPr>
      </w:pPr>
      <w:r w:rsidRPr="00471482">
        <w:rPr>
          <w:rFonts w:ascii="Arial" w:hAnsi="Arial" w:cs="Arial"/>
          <w:sz w:val="20"/>
          <w:szCs w:val="20"/>
        </w:rPr>
        <w:t xml:space="preserve">Le Centre de gestion </w:t>
      </w:r>
      <w:r w:rsidR="005230FF">
        <w:rPr>
          <w:rFonts w:ascii="Arial" w:hAnsi="Arial" w:cs="Arial"/>
          <w:sz w:val="20"/>
          <w:szCs w:val="20"/>
        </w:rPr>
        <w:t xml:space="preserve">de l’Isère </w:t>
      </w:r>
      <w:r w:rsidRPr="00471482">
        <w:rPr>
          <w:rFonts w:ascii="Arial" w:hAnsi="Arial" w:cs="Arial"/>
          <w:sz w:val="20"/>
          <w:szCs w:val="20"/>
        </w:rPr>
        <w:t>assure une mission de contrôle, d’aide et de conseil à la collectivité qui reste dans le cadre de ses prérogatives légales totalement responsable de la situation administrative de ses personnels.</w:t>
      </w:r>
    </w:p>
    <w:p w14:paraId="237B0E89" w14:textId="6C9B181D" w:rsidR="00CA60BF" w:rsidRPr="00471482" w:rsidRDefault="00CA60BF" w:rsidP="00B07FA3">
      <w:pPr>
        <w:spacing w:after="120" w:line="360" w:lineRule="auto"/>
        <w:jc w:val="both"/>
        <w:rPr>
          <w:rFonts w:ascii="Arial" w:eastAsia="Calibri" w:hAnsi="Arial" w:cs="Arial"/>
          <w:bCs/>
          <w:sz w:val="20"/>
          <w:szCs w:val="20"/>
        </w:rPr>
      </w:pPr>
      <w:r w:rsidRPr="00471482">
        <w:rPr>
          <w:rFonts w:ascii="Arial" w:eastAsia="Calibri" w:hAnsi="Arial" w:cs="Arial"/>
          <w:bCs/>
          <w:sz w:val="20"/>
          <w:szCs w:val="20"/>
        </w:rPr>
        <w:t xml:space="preserve">Il est proposé au conseil d’approuver la poursuite de cette prestation au </w:t>
      </w:r>
      <w:r w:rsidR="00CF6555" w:rsidRPr="00471482">
        <w:rPr>
          <w:rFonts w:ascii="Arial" w:eastAsia="Calibri" w:hAnsi="Arial" w:cs="Arial"/>
          <w:bCs/>
          <w:sz w:val="20"/>
          <w:szCs w:val="20"/>
        </w:rPr>
        <w:t>…………</w:t>
      </w:r>
      <w:r w:rsidRPr="00471482">
        <w:rPr>
          <w:rFonts w:ascii="Arial" w:eastAsia="Calibri" w:hAnsi="Arial" w:cs="Arial"/>
          <w:bCs/>
          <w:sz w:val="20"/>
          <w:szCs w:val="20"/>
        </w:rPr>
        <w:t xml:space="preserve"> et d’autoriser le Maire à signer la convention correspondante, telle que proposée par le CDG38</w:t>
      </w:r>
      <w:r w:rsidR="00471482">
        <w:rPr>
          <w:rFonts w:ascii="Arial" w:eastAsia="Calibri" w:hAnsi="Arial" w:cs="Arial"/>
          <w:bCs/>
          <w:sz w:val="20"/>
          <w:szCs w:val="20"/>
        </w:rPr>
        <w:t>.</w:t>
      </w:r>
    </w:p>
    <w:p w14:paraId="36CA8533" w14:textId="77777777" w:rsidR="00E41E3E" w:rsidRPr="00471482" w:rsidRDefault="00E41E3E">
      <w:pPr>
        <w:rPr>
          <w:rFonts w:ascii="Arial" w:hAnsi="Arial" w:cs="Arial"/>
        </w:rPr>
      </w:pPr>
    </w:p>
    <w:sectPr w:rsidR="002F2D32" w:rsidRPr="00471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919CC"/>
    <w:multiLevelType w:val="hybridMultilevel"/>
    <w:tmpl w:val="9CE4404C"/>
    <w:lvl w:ilvl="0" w:tplc="05FAB374">
      <w:start w:val="1"/>
      <w:numFmt w:val="bullet"/>
      <w:lvlText w:val="-"/>
      <w:lvlJc w:val="left"/>
      <w:pPr>
        <w:ind w:left="720" w:hanging="360"/>
      </w:pPr>
      <w:rPr>
        <w:rFonts w:ascii="Calibri" w:eastAsia="Calibri" w:hAnsi="Calibri" w:cs="Calibri" w:hint="default"/>
      </w:rPr>
    </w:lvl>
    <w:lvl w:ilvl="1" w:tplc="EF566292">
      <w:start w:val="1"/>
      <w:numFmt w:val="bullet"/>
      <w:lvlText w:val="o"/>
      <w:lvlJc w:val="left"/>
      <w:pPr>
        <w:ind w:left="1440" w:hanging="360"/>
      </w:pPr>
      <w:rPr>
        <w:rFonts w:ascii="Courier New" w:hAnsi="Courier New" w:cs="Courier New" w:hint="default"/>
      </w:rPr>
    </w:lvl>
    <w:lvl w:ilvl="2" w:tplc="FEF0C018">
      <w:start w:val="1"/>
      <w:numFmt w:val="bullet"/>
      <w:lvlText w:val=""/>
      <w:lvlJc w:val="left"/>
      <w:pPr>
        <w:ind w:left="2160" w:hanging="360"/>
      </w:pPr>
      <w:rPr>
        <w:rFonts w:ascii="Wingdings" w:hAnsi="Wingdings" w:hint="default"/>
      </w:rPr>
    </w:lvl>
    <w:lvl w:ilvl="3" w:tplc="D5AEEE28">
      <w:start w:val="1"/>
      <w:numFmt w:val="bullet"/>
      <w:lvlText w:val=""/>
      <w:lvlJc w:val="left"/>
      <w:pPr>
        <w:ind w:left="2880" w:hanging="360"/>
      </w:pPr>
      <w:rPr>
        <w:rFonts w:ascii="Symbol" w:hAnsi="Symbol" w:hint="default"/>
      </w:rPr>
    </w:lvl>
    <w:lvl w:ilvl="4" w:tplc="0F10305A">
      <w:start w:val="1"/>
      <w:numFmt w:val="bullet"/>
      <w:lvlText w:val="o"/>
      <w:lvlJc w:val="left"/>
      <w:pPr>
        <w:ind w:left="3600" w:hanging="360"/>
      </w:pPr>
      <w:rPr>
        <w:rFonts w:ascii="Courier New" w:hAnsi="Courier New" w:cs="Courier New" w:hint="default"/>
      </w:rPr>
    </w:lvl>
    <w:lvl w:ilvl="5" w:tplc="57D055AC">
      <w:start w:val="1"/>
      <w:numFmt w:val="bullet"/>
      <w:lvlText w:val=""/>
      <w:lvlJc w:val="left"/>
      <w:pPr>
        <w:ind w:left="4320" w:hanging="360"/>
      </w:pPr>
      <w:rPr>
        <w:rFonts w:ascii="Wingdings" w:hAnsi="Wingdings" w:hint="default"/>
      </w:rPr>
    </w:lvl>
    <w:lvl w:ilvl="6" w:tplc="0E0432F0">
      <w:start w:val="1"/>
      <w:numFmt w:val="bullet"/>
      <w:lvlText w:val=""/>
      <w:lvlJc w:val="left"/>
      <w:pPr>
        <w:ind w:left="5040" w:hanging="360"/>
      </w:pPr>
      <w:rPr>
        <w:rFonts w:ascii="Symbol" w:hAnsi="Symbol" w:hint="default"/>
      </w:rPr>
    </w:lvl>
    <w:lvl w:ilvl="7" w:tplc="94D2AB8A">
      <w:start w:val="1"/>
      <w:numFmt w:val="bullet"/>
      <w:lvlText w:val="o"/>
      <w:lvlJc w:val="left"/>
      <w:pPr>
        <w:ind w:left="5760" w:hanging="360"/>
      </w:pPr>
      <w:rPr>
        <w:rFonts w:ascii="Courier New" w:hAnsi="Courier New" w:cs="Courier New" w:hint="default"/>
      </w:rPr>
    </w:lvl>
    <w:lvl w:ilvl="8" w:tplc="77509BE0">
      <w:start w:val="1"/>
      <w:numFmt w:val="bullet"/>
      <w:lvlText w:val=""/>
      <w:lvlJc w:val="left"/>
      <w:pPr>
        <w:ind w:left="6480" w:hanging="360"/>
      </w:pPr>
      <w:rPr>
        <w:rFonts w:ascii="Wingdings" w:hAnsi="Wingdings" w:hint="default"/>
      </w:rPr>
    </w:lvl>
  </w:abstractNum>
  <w:abstractNum w:abstractNumId="1" w15:restartNumberingAfterBreak="0">
    <w:nsid w:val="5BF16B78"/>
    <w:multiLevelType w:val="hybridMultilevel"/>
    <w:tmpl w:val="6C5EF15A"/>
    <w:lvl w:ilvl="0" w:tplc="C46CFE28">
      <w:start w:val="2"/>
      <w:numFmt w:val="bullet"/>
      <w:lvlText w:val="-"/>
      <w:lvlJc w:val="left"/>
      <w:pPr>
        <w:ind w:left="720" w:hanging="360"/>
      </w:pPr>
      <w:rPr>
        <w:rFonts w:ascii="Arial" w:eastAsia="Calibri" w:hAnsi="Arial" w:cs="Arial" w:hint="default"/>
      </w:rPr>
    </w:lvl>
    <w:lvl w:ilvl="1" w:tplc="12103814">
      <w:start w:val="1"/>
      <w:numFmt w:val="bullet"/>
      <w:lvlText w:val="o"/>
      <w:lvlJc w:val="left"/>
      <w:pPr>
        <w:ind w:left="1440" w:hanging="360"/>
      </w:pPr>
      <w:rPr>
        <w:rFonts w:ascii="Courier New" w:hAnsi="Courier New" w:cs="Courier New" w:hint="default"/>
      </w:rPr>
    </w:lvl>
    <w:lvl w:ilvl="2" w:tplc="CF884BCC">
      <w:start w:val="1"/>
      <w:numFmt w:val="bullet"/>
      <w:lvlText w:val=""/>
      <w:lvlJc w:val="left"/>
      <w:pPr>
        <w:ind w:left="2160" w:hanging="360"/>
      </w:pPr>
      <w:rPr>
        <w:rFonts w:ascii="Wingdings" w:hAnsi="Wingdings" w:hint="default"/>
      </w:rPr>
    </w:lvl>
    <w:lvl w:ilvl="3" w:tplc="23FCE7CE">
      <w:start w:val="1"/>
      <w:numFmt w:val="bullet"/>
      <w:lvlText w:val=""/>
      <w:lvlJc w:val="left"/>
      <w:pPr>
        <w:ind w:left="2880" w:hanging="360"/>
      </w:pPr>
      <w:rPr>
        <w:rFonts w:ascii="Symbol" w:hAnsi="Symbol" w:hint="default"/>
      </w:rPr>
    </w:lvl>
    <w:lvl w:ilvl="4" w:tplc="6BD2BFF2">
      <w:start w:val="1"/>
      <w:numFmt w:val="bullet"/>
      <w:lvlText w:val="o"/>
      <w:lvlJc w:val="left"/>
      <w:pPr>
        <w:ind w:left="3600" w:hanging="360"/>
      </w:pPr>
      <w:rPr>
        <w:rFonts w:ascii="Courier New" w:hAnsi="Courier New" w:cs="Courier New" w:hint="default"/>
      </w:rPr>
    </w:lvl>
    <w:lvl w:ilvl="5" w:tplc="1CD4618C">
      <w:start w:val="1"/>
      <w:numFmt w:val="bullet"/>
      <w:lvlText w:val=""/>
      <w:lvlJc w:val="left"/>
      <w:pPr>
        <w:ind w:left="4320" w:hanging="360"/>
      </w:pPr>
      <w:rPr>
        <w:rFonts w:ascii="Wingdings" w:hAnsi="Wingdings" w:hint="default"/>
      </w:rPr>
    </w:lvl>
    <w:lvl w:ilvl="6" w:tplc="93D4C53A">
      <w:start w:val="1"/>
      <w:numFmt w:val="bullet"/>
      <w:lvlText w:val=""/>
      <w:lvlJc w:val="left"/>
      <w:pPr>
        <w:ind w:left="5040" w:hanging="360"/>
      </w:pPr>
      <w:rPr>
        <w:rFonts w:ascii="Symbol" w:hAnsi="Symbol" w:hint="default"/>
      </w:rPr>
    </w:lvl>
    <w:lvl w:ilvl="7" w:tplc="E06C2862">
      <w:start w:val="1"/>
      <w:numFmt w:val="bullet"/>
      <w:lvlText w:val="o"/>
      <w:lvlJc w:val="left"/>
      <w:pPr>
        <w:ind w:left="5760" w:hanging="360"/>
      </w:pPr>
      <w:rPr>
        <w:rFonts w:ascii="Courier New" w:hAnsi="Courier New" w:cs="Courier New" w:hint="default"/>
      </w:rPr>
    </w:lvl>
    <w:lvl w:ilvl="8" w:tplc="86E2F260">
      <w:start w:val="1"/>
      <w:numFmt w:val="bullet"/>
      <w:lvlText w:val=""/>
      <w:lvlJc w:val="left"/>
      <w:pPr>
        <w:ind w:left="6480" w:hanging="360"/>
      </w:pPr>
      <w:rPr>
        <w:rFonts w:ascii="Wingdings" w:hAnsi="Wingdings" w:hint="default"/>
      </w:rPr>
    </w:lvl>
  </w:abstractNum>
  <w:abstractNum w:abstractNumId="2" w15:restartNumberingAfterBreak="0">
    <w:nsid w:val="7E805A1F"/>
    <w:multiLevelType w:val="hybridMultilevel"/>
    <w:tmpl w:val="541E8428"/>
    <w:lvl w:ilvl="0" w:tplc="87FC52BC">
      <w:start w:val="1"/>
      <w:numFmt w:val="bullet"/>
      <w:lvlText w:val=""/>
      <w:lvlJc w:val="left"/>
      <w:pPr>
        <w:ind w:left="720" w:hanging="360"/>
      </w:pPr>
      <w:rPr>
        <w:rFonts w:ascii="Symbol" w:hAnsi="Symbol" w:hint="default"/>
      </w:rPr>
    </w:lvl>
    <w:lvl w:ilvl="1" w:tplc="6C5466B4">
      <w:start w:val="1"/>
      <w:numFmt w:val="bullet"/>
      <w:lvlText w:val="o"/>
      <w:lvlJc w:val="left"/>
      <w:pPr>
        <w:ind w:left="1440" w:hanging="360"/>
      </w:pPr>
      <w:rPr>
        <w:rFonts w:ascii="Courier New" w:hAnsi="Courier New" w:cs="Courier New" w:hint="default"/>
      </w:rPr>
    </w:lvl>
    <w:lvl w:ilvl="2" w:tplc="97C04D70">
      <w:start w:val="1"/>
      <w:numFmt w:val="bullet"/>
      <w:lvlText w:val=""/>
      <w:lvlJc w:val="left"/>
      <w:pPr>
        <w:ind w:left="2160" w:hanging="360"/>
      </w:pPr>
      <w:rPr>
        <w:rFonts w:ascii="Wingdings" w:hAnsi="Wingdings" w:hint="default"/>
      </w:rPr>
    </w:lvl>
    <w:lvl w:ilvl="3" w:tplc="32F6527A">
      <w:start w:val="1"/>
      <w:numFmt w:val="bullet"/>
      <w:lvlText w:val=""/>
      <w:lvlJc w:val="left"/>
      <w:pPr>
        <w:ind w:left="2880" w:hanging="360"/>
      </w:pPr>
      <w:rPr>
        <w:rFonts w:ascii="Symbol" w:hAnsi="Symbol" w:hint="default"/>
      </w:rPr>
    </w:lvl>
    <w:lvl w:ilvl="4" w:tplc="6B122812">
      <w:start w:val="1"/>
      <w:numFmt w:val="bullet"/>
      <w:lvlText w:val="o"/>
      <w:lvlJc w:val="left"/>
      <w:pPr>
        <w:ind w:left="3600" w:hanging="360"/>
      </w:pPr>
      <w:rPr>
        <w:rFonts w:ascii="Courier New" w:hAnsi="Courier New" w:cs="Courier New" w:hint="default"/>
      </w:rPr>
    </w:lvl>
    <w:lvl w:ilvl="5" w:tplc="8FA8BC26">
      <w:start w:val="1"/>
      <w:numFmt w:val="bullet"/>
      <w:lvlText w:val=""/>
      <w:lvlJc w:val="left"/>
      <w:pPr>
        <w:ind w:left="4320" w:hanging="360"/>
      </w:pPr>
      <w:rPr>
        <w:rFonts w:ascii="Wingdings" w:hAnsi="Wingdings" w:hint="default"/>
      </w:rPr>
    </w:lvl>
    <w:lvl w:ilvl="6" w:tplc="AFEA1F42">
      <w:start w:val="1"/>
      <w:numFmt w:val="bullet"/>
      <w:lvlText w:val=""/>
      <w:lvlJc w:val="left"/>
      <w:pPr>
        <w:ind w:left="5040" w:hanging="360"/>
      </w:pPr>
      <w:rPr>
        <w:rFonts w:ascii="Symbol" w:hAnsi="Symbol" w:hint="default"/>
      </w:rPr>
    </w:lvl>
    <w:lvl w:ilvl="7" w:tplc="89DADBB0">
      <w:start w:val="1"/>
      <w:numFmt w:val="bullet"/>
      <w:lvlText w:val="o"/>
      <w:lvlJc w:val="left"/>
      <w:pPr>
        <w:ind w:left="5760" w:hanging="360"/>
      </w:pPr>
      <w:rPr>
        <w:rFonts w:ascii="Courier New" w:hAnsi="Courier New" w:cs="Courier New" w:hint="default"/>
      </w:rPr>
    </w:lvl>
    <w:lvl w:ilvl="8" w:tplc="A9F468CC">
      <w:start w:val="1"/>
      <w:numFmt w:val="bullet"/>
      <w:lvlText w:val=""/>
      <w:lvlJc w:val="left"/>
      <w:pPr>
        <w:ind w:left="6480" w:hanging="360"/>
      </w:pPr>
      <w:rPr>
        <w:rFonts w:ascii="Wingdings" w:hAnsi="Wingdings" w:hint="default"/>
      </w:rPr>
    </w:lvl>
  </w:abstractNum>
  <w:num w:numId="1" w16cid:durableId="979267766">
    <w:abstractNumId w:val="2"/>
  </w:num>
  <w:num w:numId="2" w16cid:durableId="30812906">
    <w:abstractNumId w:val="0"/>
  </w:num>
  <w:num w:numId="3" w16cid:durableId="1783066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A3"/>
    <w:rsid w:val="00124C38"/>
    <w:rsid w:val="003307EF"/>
    <w:rsid w:val="00471482"/>
    <w:rsid w:val="005230FF"/>
    <w:rsid w:val="006A0FD4"/>
    <w:rsid w:val="006F7EAB"/>
    <w:rsid w:val="008C0F6C"/>
    <w:rsid w:val="009069B3"/>
    <w:rsid w:val="00AB0F41"/>
    <w:rsid w:val="00B07FA3"/>
    <w:rsid w:val="00C93CA3"/>
    <w:rsid w:val="00CA60BF"/>
    <w:rsid w:val="00CA7370"/>
    <w:rsid w:val="00CF6555"/>
    <w:rsid w:val="00D91799"/>
    <w:rsid w:val="00E41E3E"/>
    <w:rsid w:val="00FB62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04FB"/>
  <w15:chartTrackingRefBased/>
  <w15:docId w15:val="{5A7FEB07-246E-44EF-A431-2CAC8460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6555"/>
    <w:pPr>
      <w:spacing w:after="120" w:line="360" w:lineRule="auto"/>
      <w:ind w:left="720"/>
      <w:contextualSpacing/>
      <w:jc w:val="both"/>
    </w:pPr>
    <w:rPr>
      <w:rFonts w:ascii="Arial" w:eastAsia="Calibri" w:hAnsi="Arial" w:cs="Cambria"/>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CASTOLDI Frédéric</dc:creator>
  <cp:keywords/>
  <dc:description/>
  <cp:lastModifiedBy>KETFI-CHARIF Jeannette</cp:lastModifiedBy>
  <cp:revision>3</cp:revision>
  <dcterms:created xsi:type="dcterms:W3CDTF">2023-12-15T10:18:00Z</dcterms:created>
  <dcterms:modified xsi:type="dcterms:W3CDTF">2023-12-19T07:50:00Z</dcterms:modified>
</cp:coreProperties>
</file>