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9E8D" w14:textId="77777777" w:rsidR="00B075B7" w:rsidRPr="00A3190F" w:rsidRDefault="00B075B7" w:rsidP="00B075B7">
      <w:pPr>
        <w:spacing w:before="240" w:after="240"/>
        <w:ind w:left="708"/>
        <w:jc w:val="center"/>
        <w:rPr>
          <w:rFonts w:cs="Arial"/>
          <w:b/>
          <w:spacing w:val="-2"/>
        </w:rPr>
      </w:pPr>
      <w:r w:rsidRPr="00A3190F">
        <w:rPr>
          <w:rFonts w:cs="Arial"/>
          <w:b/>
          <w:spacing w:val="-2"/>
        </w:rPr>
        <w:t>ANNEXE 2</w:t>
      </w:r>
    </w:p>
    <w:p w14:paraId="551E42F1" w14:textId="77777777" w:rsidR="00B075B7" w:rsidRPr="00A3190F" w:rsidRDefault="00B075B7" w:rsidP="00B075B7">
      <w:pPr>
        <w:spacing w:before="240" w:after="360"/>
        <w:ind w:left="708"/>
        <w:jc w:val="center"/>
        <w:rPr>
          <w:rFonts w:cs="Arial"/>
          <w:b/>
          <w:spacing w:val="-2"/>
        </w:rPr>
      </w:pPr>
      <w:r w:rsidRPr="00A3190F">
        <w:rPr>
          <w:rFonts w:cs="Arial"/>
          <w:b/>
          <w:spacing w:val="-2"/>
        </w:rPr>
        <w:t>Modèle de délibération instituant le RIFSEEP</w:t>
      </w:r>
    </w:p>
    <w:p w14:paraId="04FAE87A" w14:textId="77777777" w:rsidR="00B075B7" w:rsidRPr="00A3190F" w:rsidRDefault="00B075B7" w:rsidP="00B075B7">
      <w:pPr>
        <w:pBdr>
          <w:top w:val="single" w:sz="4" w:space="1" w:color="auto"/>
          <w:left w:val="single" w:sz="4" w:space="4" w:color="auto"/>
          <w:bottom w:val="single" w:sz="4" w:space="1" w:color="auto"/>
          <w:right w:val="single" w:sz="4" w:space="4" w:color="auto"/>
        </w:pBdr>
        <w:jc w:val="center"/>
        <w:rPr>
          <w:rFonts w:cs="Arial"/>
          <w:b/>
          <w:bCs/>
          <w:szCs w:val="22"/>
        </w:rPr>
      </w:pPr>
      <w:r w:rsidRPr="00A3190F">
        <w:rPr>
          <w:rFonts w:cs="Arial"/>
          <w:b/>
          <w:bCs/>
          <w:szCs w:val="22"/>
        </w:rPr>
        <w:t>Délibération portant sur les modalités d’attribution du régime indemnitaire tenant compte des fonctions, des sujétions, de l’expertise et de l’engagement professionnel</w:t>
      </w:r>
    </w:p>
    <w:p w14:paraId="28B54A64" w14:textId="77777777" w:rsidR="00B075B7" w:rsidRPr="00A3190F" w:rsidRDefault="00B075B7" w:rsidP="00B075B7">
      <w:pPr>
        <w:jc w:val="both"/>
        <w:rPr>
          <w:rFonts w:cs="Arial"/>
          <w:szCs w:val="22"/>
        </w:rPr>
      </w:pPr>
    </w:p>
    <w:p w14:paraId="4DF3AF66" w14:textId="77777777" w:rsidR="00B075B7" w:rsidRPr="00A3190F" w:rsidRDefault="00B075B7" w:rsidP="00B075B7">
      <w:pPr>
        <w:jc w:val="both"/>
        <w:rPr>
          <w:rFonts w:cs="Arial"/>
          <w:szCs w:val="22"/>
        </w:rPr>
      </w:pPr>
    </w:p>
    <w:p w14:paraId="189CCA6D" w14:textId="77777777" w:rsidR="00B075B7" w:rsidRPr="000045C6"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 xml:space="preserve">Vu le code général des collectivités territoriales (CGCT) et notamment ses articles L. 1111-1, L. 1111-2, L. 2121-12, L. 2121-29 et L. 2122-18 (communes) </w:t>
      </w:r>
    </w:p>
    <w:p w14:paraId="520E806D" w14:textId="77777777" w:rsidR="00B075B7" w:rsidRPr="000045C6" w:rsidRDefault="00B075B7" w:rsidP="00B075B7">
      <w:pPr>
        <w:pStyle w:val="Paragraphedeliste"/>
        <w:spacing w:after="60"/>
        <w:jc w:val="both"/>
        <w:rPr>
          <w:rFonts w:ascii="Arial" w:hAnsi="Arial" w:cs="Arial"/>
          <w:sz w:val="22"/>
          <w:szCs w:val="22"/>
        </w:rPr>
      </w:pPr>
    </w:p>
    <w:p w14:paraId="1161C4B8" w14:textId="77777777" w:rsidR="00B075B7" w:rsidRPr="000045C6"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Vu le code général de la fonction publique (CGFP), et notamment ses articles L. 712-1, L. 714-1 et L. 714-4 et suivants</w:t>
      </w:r>
    </w:p>
    <w:p w14:paraId="6EC488A1" w14:textId="77777777" w:rsidR="00B075B7" w:rsidRPr="000045C6" w:rsidRDefault="00B075B7" w:rsidP="00B075B7">
      <w:pPr>
        <w:spacing w:after="60"/>
        <w:jc w:val="both"/>
        <w:rPr>
          <w:rFonts w:cs="Arial"/>
          <w:szCs w:val="22"/>
        </w:rPr>
      </w:pPr>
    </w:p>
    <w:p w14:paraId="04BA74C3" w14:textId="77777777" w:rsidR="00B075B7" w:rsidRPr="000045C6"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Vu le décret n° 91-875 du 6 septembre 1991 modifié pris pour l'application du premier alinéa de l'article 88 de la loi n° 84-53 du 26 janvier 1984, et notamment ses annexes 1 et 2 fixant les tableaux d’équivalence entre les corps de l’État et les cadres d’emplois de la fonction publique territoriale,</w:t>
      </w:r>
    </w:p>
    <w:p w14:paraId="001E2274" w14:textId="77777777" w:rsidR="00B075B7" w:rsidRPr="000045C6" w:rsidRDefault="00B075B7" w:rsidP="00B075B7">
      <w:pPr>
        <w:pStyle w:val="Paragraphedeliste"/>
        <w:spacing w:after="60"/>
        <w:jc w:val="both"/>
        <w:rPr>
          <w:rFonts w:ascii="Arial" w:hAnsi="Arial" w:cs="Arial"/>
          <w:sz w:val="22"/>
          <w:szCs w:val="22"/>
        </w:rPr>
      </w:pPr>
    </w:p>
    <w:p w14:paraId="1F1C65CE" w14:textId="77777777" w:rsidR="00B075B7" w:rsidRPr="000045C6" w:rsidRDefault="00B075B7" w:rsidP="00B075B7">
      <w:pPr>
        <w:pStyle w:val="Paragraphedeliste"/>
        <w:numPr>
          <w:ilvl w:val="0"/>
          <w:numId w:val="1"/>
        </w:numPr>
        <w:tabs>
          <w:tab w:val="left" w:pos="1175"/>
        </w:tabs>
        <w:spacing w:after="60"/>
        <w:jc w:val="both"/>
        <w:rPr>
          <w:rFonts w:ascii="Arial" w:hAnsi="Arial" w:cs="Arial"/>
          <w:sz w:val="22"/>
          <w:szCs w:val="22"/>
        </w:rPr>
      </w:pPr>
      <w:r w:rsidRPr="000045C6">
        <w:rPr>
          <w:rFonts w:ascii="Arial" w:hAnsi="Arial" w:cs="Arial"/>
          <w:sz w:val="22"/>
          <w:szCs w:val="22"/>
        </w:rPr>
        <w:t>Vu le décret n°2010-997 du 26 août 2010 modifié relatif au régime de maintien des primes et indemnités des agents publics de l'État et des magistrats de l'ordre judiciaire dans certaines situations de congés</w:t>
      </w:r>
    </w:p>
    <w:p w14:paraId="1F7A4304" w14:textId="77777777" w:rsidR="00B075B7" w:rsidRPr="000045C6" w:rsidRDefault="00B075B7" w:rsidP="00B075B7">
      <w:pPr>
        <w:spacing w:after="60"/>
        <w:jc w:val="both"/>
        <w:rPr>
          <w:rFonts w:cs="Arial"/>
          <w:szCs w:val="22"/>
        </w:rPr>
      </w:pPr>
    </w:p>
    <w:p w14:paraId="3069B4A4" w14:textId="77777777" w:rsidR="00B075B7" w:rsidRPr="000045C6"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Vu le décret n° 2014-513 du 20 mai 2014 modifié portant création d’un régime indemnitaire tenant compte des fonctions, des sujétions, de l’expertise et de l’engagement professionnel dans la fonction publique de l’État</w:t>
      </w:r>
    </w:p>
    <w:p w14:paraId="6243B64B" w14:textId="77777777" w:rsidR="00B075B7" w:rsidRPr="000045C6" w:rsidRDefault="00B075B7" w:rsidP="00B075B7">
      <w:pPr>
        <w:spacing w:after="60"/>
        <w:jc w:val="both"/>
        <w:rPr>
          <w:rFonts w:cs="Arial"/>
          <w:szCs w:val="22"/>
        </w:rPr>
      </w:pPr>
    </w:p>
    <w:p w14:paraId="5AB5365C" w14:textId="77777777" w:rsidR="00B075B7" w:rsidRPr="00456F34"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Vu le décret n°2014-1526 du 16 décembre 2014 modifié relatif à l’appréciation de la valeur professionnelle des fonctionnaires territoriaux</w:t>
      </w:r>
    </w:p>
    <w:p w14:paraId="74F33C76" w14:textId="77777777" w:rsidR="00B075B7" w:rsidRPr="000045C6" w:rsidRDefault="00B075B7" w:rsidP="00B075B7">
      <w:pPr>
        <w:spacing w:after="60"/>
        <w:jc w:val="both"/>
        <w:rPr>
          <w:rFonts w:cs="Arial"/>
          <w:szCs w:val="22"/>
        </w:rPr>
      </w:pPr>
    </w:p>
    <w:p w14:paraId="3263814A" w14:textId="77777777" w:rsidR="00B075B7" w:rsidRPr="000045C6"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Vu l’arrêté NOR : RDFF1519795A du 27 août 2015 modifié pris en application de l’article 5 du décret n° 2014-513 portant création d’un régime indemnitaire tenant compte des fonctions, des sujétions, de l’expertise et de l’engagement professionnel dans la fonction publique de l’État,</w:t>
      </w:r>
    </w:p>
    <w:p w14:paraId="2E63C8A1" w14:textId="77777777" w:rsidR="00B075B7" w:rsidRPr="000045C6" w:rsidRDefault="00B075B7" w:rsidP="00B075B7">
      <w:pPr>
        <w:pStyle w:val="Paragraphedeliste"/>
        <w:spacing w:after="60"/>
        <w:jc w:val="both"/>
        <w:rPr>
          <w:rFonts w:ascii="Arial" w:hAnsi="Arial" w:cs="Arial"/>
          <w:sz w:val="22"/>
          <w:szCs w:val="22"/>
        </w:rPr>
      </w:pPr>
    </w:p>
    <w:p w14:paraId="45148CAC" w14:textId="77777777" w:rsidR="00B075B7" w:rsidRPr="000045C6"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Vu les arrêtés permettant l’application du RIFSEEP aux cadres d’emplois de la fonction publique territoriale, conformément aux tableaux d’équivalence entre les corps de l’</w:t>
      </w:r>
      <w:proofErr w:type="spellStart"/>
      <w:r w:rsidRPr="000045C6">
        <w:rPr>
          <w:rFonts w:ascii="Arial" w:hAnsi="Arial" w:cs="Arial"/>
          <w:sz w:val="22"/>
          <w:szCs w:val="22"/>
        </w:rPr>
        <w:t>Etat</w:t>
      </w:r>
      <w:proofErr w:type="spellEnd"/>
      <w:r w:rsidRPr="000045C6">
        <w:rPr>
          <w:rFonts w:ascii="Arial" w:hAnsi="Arial" w:cs="Arial"/>
          <w:sz w:val="22"/>
          <w:szCs w:val="22"/>
        </w:rPr>
        <w:t xml:space="preserve"> et les cadres d’emplois de la fonction publique territoriale figurant aux annexes 1 et 2 du décret n°91-875 du 6 septembre 1991 susvisé,</w:t>
      </w:r>
    </w:p>
    <w:p w14:paraId="40658790" w14:textId="77777777" w:rsidR="00B075B7" w:rsidRPr="000045C6" w:rsidRDefault="00B075B7" w:rsidP="00B075B7">
      <w:pPr>
        <w:pStyle w:val="Paragraphedeliste"/>
        <w:numPr>
          <w:ilvl w:val="0"/>
          <w:numId w:val="1"/>
        </w:numPr>
        <w:spacing w:after="60"/>
        <w:jc w:val="both"/>
        <w:rPr>
          <w:rFonts w:ascii="Arial" w:hAnsi="Arial" w:cs="Arial"/>
          <w:sz w:val="22"/>
          <w:szCs w:val="22"/>
        </w:rPr>
      </w:pPr>
    </w:p>
    <w:p w14:paraId="120E7A6E" w14:textId="77777777" w:rsidR="00B075B7" w:rsidRPr="000045C6" w:rsidRDefault="00B075B7" w:rsidP="00B075B7">
      <w:pPr>
        <w:pStyle w:val="Paragraphedeliste"/>
        <w:numPr>
          <w:ilvl w:val="0"/>
          <w:numId w:val="1"/>
        </w:numPr>
        <w:spacing w:after="60"/>
        <w:jc w:val="both"/>
        <w:rPr>
          <w:rFonts w:ascii="Arial" w:hAnsi="Arial" w:cs="Arial"/>
          <w:sz w:val="22"/>
          <w:szCs w:val="22"/>
        </w:rPr>
      </w:pPr>
      <w:r w:rsidRPr="000045C6">
        <w:rPr>
          <w:rFonts w:ascii="Arial" w:hAnsi="Arial" w:cs="Arial"/>
          <w:sz w:val="22"/>
          <w:szCs w:val="22"/>
        </w:rPr>
        <w:t>Vu la circulaire NOR : RDFF1427139C du 5 décembre 2014 relative à la mise en œuvre du régime indemnitaire tenant compte des fonctions, des sujétions, de l’expertise et de l’engagement professionnel,</w:t>
      </w:r>
    </w:p>
    <w:p w14:paraId="507B7CA4" w14:textId="77777777" w:rsidR="00B075B7" w:rsidRPr="000045C6" w:rsidRDefault="00B075B7" w:rsidP="00B075B7">
      <w:pPr>
        <w:jc w:val="both"/>
        <w:rPr>
          <w:rFonts w:cs="Arial"/>
          <w:szCs w:val="22"/>
        </w:rPr>
      </w:pPr>
    </w:p>
    <w:p w14:paraId="2C697FA3" w14:textId="77777777" w:rsidR="00B075B7" w:rsidRPr="000045C6" w:rsidRDefault="00B075B7" w:rsidP="00B075B7">
      <w:pPr>
        <w:jc w:val="both"/>
        <w:rPr>
          <w:rFonts w:cs="Arial"/>
          <w:szCs w:val="22"/>
        </w:rPr>
      </w:pPr>
      <w:r w:rsidRPr="000045C6">
        <w:rPr>
          <w:rFonts w:cs="Arial"/>
          <w:szCs w:val="22"/>
        </w:rPr>
        <w:t>Vu l’avis du Comité Social Territorial en date du ………………,</w:t>
      </w:r>
    </w:p>
    <w:p w14:paraId="665264CF" w14:textId="77777777" w:rsidR="00B075B7" w:rsidRPr="000045C6" w:rsidRDefault="00B075B7" w:rsidP="00B075B7">
      <w:pPr>
        <w:rPr>
          <w:rFonts w:cs="Arial"/>
          <w:b/>
          <w:i/>
          <w:szCs w:val="22"/>
        </w:rPr>
      </w:pPr>
      <w:r w:rsidRPr="000045C6">
        <w:rPr>
          <w:rFonts w:cs="Arial"/>
          <w:b/>
          <w:i/>
          <w:szCs w:val="22"/>
          <w:highlight w:val="yellow"/>
        </w:rPr>
        <w:t>Viser les anciennes délibérations de régime indemnitaire</w:t>
      </w:r>
      <w:r w:rsidRPr="000045C6">
        <w:rPr>
          <w:rFonts w:cs="Arial"/>
          <w:b/>
          <w:i/>
          <w:szCs w:val="22"/>
        </w:rPr>
        <w:t xml:space="preserve"> </w:t>
      </w:r>
    </w:p>
    <w:p w14:paraId="01F235D1" w14:textId="77777777" w:rsidR="00B075B7" w:rsidRDefault="00B075B7" w:rsidP="00B075B7">
      <w:pPr>
        <w:jc w:val="both"/>
        <w:rPr>
          <w:rFonts w:cs="Arial"/>
          <w:szCs w:val="22"/>
        </w:rPr>
      </w:pPr>
    </w:p>
    <w:p w14:paraId="44073385" w14:textId="77777777" w:rsidR="00B075B7" w:rsidRDefault="00B075B7" w:rsidP="00B075B7">
      <w:pPr>
        <w:jc w:val="both"/>
        <w:rPr>
          <w:rFonts w:cs="Arial"/>
          <w:szCs w:val="22"/>
        </w:rPr>
      </w:pPr>
    </w:p>
    <w:p w14:paraId="63504FAE" w14:textId="77777777" w:rsidR="00B075B7" w:rsidRDefault="00B075B7" w:rsidP="00B075B7">
      <w:pPr>
        <w:jc w:val="both"/>
        <w:rPr>
          <w:rFonts w:cs="Arial"/>
          <w:szCs w:val="22"/>
        </w:rPr>
      </w:pPr>
    </w:p>
    <w:p w14:paraId="1B0DB94E" w14:textId="77777777" w:rsidR="00B075B7" w:rsidRPr="000045C6" w:rsidRDefault="00B075B7" w:rsidP="00B075B7">
      <w:pPr>
        <w:jc w:val="both"/>
        <w:rPr>
          <w:rFonts w:cs="Arial"/>
          <w:szCs w:val="22"/>
        </w:rPr>
      </w:pPr>
      <w:r w:rsidRPr="000045C6">
        <w:rPr>
          <w:rFonts w:cs="Arial"/>
          <w:szCs w:val="22"/>
        </w:rPr>
        <w:t xml:space="preserve">Le Conseil municipal, après en avoir délibéré, décide des dispositions suivantes : </w:t>
      </w:r>
    </w:p>
    <w:p w14:paraId="788A98CF" w14:textId="77777777" w:rsidR="00B075B7" w:rsidRPr="000045C6" w:rsidRDefault="00B075B7" w:rsidP="00B075B7">
      <w:pPr>
        <w:jc w:val="both"/>
        <w:rPr>
          <w:rFonts w:cs="Arial"/>
          <w:szCs w:val="22"/>
        </w:rPr>
      </w:pPr>
    </w:p>
    <w:p w14:paraId="7815353B" w14:textId="77777777" w:rsidR="00B075B7" w:rsidRPr="000045C6" w:rsidRDefault="00B075B7" w:rsidP="00B075B7">
      <w:pPr>
        <w:keepNext/>
        <w:spacing w:after="120"/>
        <w:jc w:val="both"/>
        <w:outlineLvl w:val="0"/>
        <w:rPr>
          <w:rFonts w:cs="Arial"/>
          <w:b/>
          <w:bCs/>
          <w:szCs w:val="22"/>
        </w:rPr>
      </w:pPr>
      <w:r w:rsidRPr="000045C6">
        <w:rPr>
          <w:rFonts w:cs="Arial"/>
          <w:b/>
          <w:bCs/>
          <w:szCs w:val="22"/>
        </w:rPr>
        <w:lastRenderedPageBreak/>
        <w:t>Principes structurant la refonte du régime indemnitaire</w:t>
      </w:r>
    </w:p>
    <w:p w14:paraId="60A81856" w14:textId="77777777" w:rsidR="00B075B7" w:rsidRPr="000045C6" w:rsidRDefault="00B075B7" w:rsidP="00B075B7">
      <w:pPr>
        <w:jc w:val="both"/>
        <w:rPr>
          <w:rFonts w:cs="Arial"/>
          <w:szCs w:val="22"/>
        </w:rPr>
      </w:pPr>
      <w:r w:rsidRPr="000045C6">
        <w:rPr>
          <w:rFonts w:cs="Arial"/>
          <w:szCs w:val="22"/>
        </w:rPr>
        <w:t xml:space="preserve">Un certain nombre d’objectifs ont été définis par les élus pour faire évoluer le régime indemnitaire : </w:t>
      </w:r>
    </w:p>
    <w:p w14:paraId="2BBA777B" w14:textId="77777777" w:rsidR="00B075B7" w:rsidRPr="000045C6" w:rsidRDefault="00B075B7" w:rsidP="00B075B7">
      <w:pPr>
        <w:numPr>
          <w:ilvl w:val="0"/>
          <w:numId w:val="2"/>
        </w:numPr>
        <w:jc w:val="both"/>
        <w:rPr>
          <w:rFonts w:cs="Arial"/>
          <w:szCs w:val="22"/>
        </w:rPr>
      </w:pPr>
      <w:r w:rsidRPr="000045C6">
        <w:rPr>
          <w:rFonts w:cs="Arial"/>
          <w:szCs w:val="22"/>
        </w:rPr>
        <w:t xml:space="preserve">Verser un régime indemnitaire à l'ensemble des agents, </w:t>
      </w:r>
    </w:p>
    <w:p w14:paraId="2B86742A" w14:textId="77777777" w:rsidR="00B075B7" w:rsidRPr="000045C6" w:rsidRDefault="00B075B7" w:rsidP="00B075B7">
      <w:pPr>
        <w:numPr>
          <w:ilvl w:val="0"/>
          <w:numId w:val="2"/>
        </w:numPr>
        <w:jc w:val="both"/>
        <w:rPr>
          <w:rFonts w:cs="Arial"/>
          <w:szCs w:val="22"/>
        </w:rPr>
      </w:pPr>
      <w:r w:rsidRPr="000045C6">
        <w:rPr>
          <w:rFonts w:cs="Arial"/>
          <w:szCs w:val="22"/>
        </w:rPr>
        <w:t>Instaurer un système lisible et transparent,</w:t>
      </w:r>
    </w:p>
    <w:p w14:paraId="602337DD" w14:textId="77777777" w:rsidR="00B075B7" w:rsidRPr="000045C6" w:rsidRDefault="00B075B7" w:rsidP="00B075B7">
      <w:pPr>
        <w:numPr>
          <w:ilvl w:val="0"/>
          <w:numId w:val="2"/>
        </w:numPr>
        <w:jc w:val="both"/>
        <w:rPr>
          <w:rFonts w:cs="Arial"/>
          <w:szCs w:val="22"/>
        </w:rPr>
      </w:pPr>
      <w:r w:rsidRPr="000045C6">
        <w:rPr>
          <w:rFonts w:cs="Arial"/>
          <w:szCs w:val="22"/>
        </w:rPr>
        <w:t>Prendre en compte les responsabilités liées aux postes occupés, indépendamment des grades et de la situation statutaire des agents.</w:t>
      </w:r>
    </w:p>
    <w:p w14:paraId="4222F380" w14:textId="77777777" w:rsidR="00B075B7" w:rsidRPr="000045C6" w:rsidRDefault="00B075B7" w:rsidP="00B075B7">
      <w:pPr>
        <w:jc w:val="both"/>
        <w:rPr>
          <w:rFonts w:cs="Arial"/>
          <w:szCs w:val="22"/>
        </w:rPr>
      </w:pPr>
    </w:p>
    <w:p w14:paraId="51E443A6" w14:textId="77777777" w:rsidR="00B075B7" w:rsidRPr="000045C6" w:rsidRDefault="00B075B7" w:rsidP="00B075B7">
      <w:pPr>
        <w:spacing w:after="120"/>
        <w:jc w:val="both"/>
        <w:rPr>
          <w:rFonts w:cs="Arial"/>
          <w:szCs w:val="22"/>
        </w:rPr>
      </w:pPr>
      <w:r w:rsidRPr="000045C6">
        <w:rPr>
          <w:rFonts w:cs="Arial"/>
          <w:b/>
          <w:bCs/>
          <w:szCs w:val="22"/>
          <w:u w:val="single"/>
        </w:rPr>
        <w:t>Article 1</w:t>
      </w:r>
      <w:r w:rsidRPr="000045C6">
        <w:rPr>
          <w:rFonts w:cs="Arial"/>
          <w:szCs w:val="22"/>
        </w:rPr>
        <w:t xml:space="preserve"> : </w:t>
      </w:r>
    </w:p>
    <w:p w14:paraId="3D042274" w14:textId="77777777" w:rsidR="00B075B7" w:rsidRPr="000045C6" w:rsidRDefault="00B075B7" w:rsidP="00B075B7">
      <w:pPr>
        <w:jc w:val="both"/>
        <w:rPr>
          <w:rFonts w:cs="Arial"/>
          <w:szCs w:val="22"/>
        </w:rPr>
      </w:pPr>
      <w:r w:rsidRPr="000045C6">
        <w:rPr>
          <w:rFonts w:cs="Arial"/>
          <w:szCs w:val="22"/>
        </w:rPr>
        <w:t>Les délibérations ………………. (</w:t>
      </w:r>
      <w:r w:rsidRPr="000045C6">
        <w:rPr>
          <w:rFonts w:cs="Arial"/>
          <w:b/>
          <w:i/>
          <w:szCs w:val="22"/>
          <w:highlight w:val="yellow"/>
        </w:rPr>
        <w:t>Viser les anciennes délibérations de régime indemnitaire</w:t>
      </w:r>
      <w:r w:rsidRPr="000045C6">
        <w:rPr>
          <w:rFonts w:cs="Arial"/>
          <w:i/>
          <w:szCs w:val="22"/>
        </w:rPr>
        <w:t>)</w:t>
      </w:r>
      <w:r w:rsidRPr="000045C6">
        <w:rPr>
          <w:rFonts w:cs="Arial"/>
          <w:szCs w:val="22"/>
        </w:rPr>
        <w:t xml:space="preserve"> sont abrogées. </w:t>
      </w:r>
    </w:p>
    <w:p w14:paraId="62AA8C3D" w14:textId="77777777" w:rsidR="00B075B7" w:rsidRPr="000045C6" w:rsidRDefault="00B075B7" w:rsidP="00B075B7">
      <w:pPr>
        <w:jc w:val="both"/>
        <w:rPr>
          <w:rFonts w:cs="Arial"/>
          <w:szCs w:val="22"/>
        </w:rPr>
      </w:pPr>
    </w:p>
    <w:p w14:paraId="43D2E0AB" w14:textId="77777777" w:rsidR="00B075B7" w:rsidRPr="000045C6" w:rsidRDefault="00B075B7" w:rsidP="00B075B7">
      <w:pPr>
        <w:spacing w:after="120"/>
        <w:jc w:val="both"/>
        <w:rPr>
          <w:rFonts w:cs="Arial"/>
          <w:szCs w:val="22"/>
        </w:rPr>
      </w:pPr>
      <w:r w:rsidRPr="000045C6">
        <w:rPr>
          <w:rFonts w:cs="Arial"/>
          <w:b/>
          <w:bCs/>
          <w:szCs w:val="22"/>
          <w:u w:val="single"/>
        </w:rPr>
        <w:t>Article 2</w:t>
      </w:r>
      <w:r w:rsidRPr="000045C6">
        <w:rPr>
          <w:rFonts w:cs="Arial"/>
          <w:szCs w:val="22"/>
        </w:rPr>
        <w:t xml:space="preserve"> : </w:t>
      </w:r>
    </w:p>
    <w:p w14:paraId="0C01D82A" w14:textId="77777777" w:rsidR="00B075B7" w:rsidRPr="000045C6" w:rsidRDefault="00B075B7" w:rsidP="00B075B7">
      <w:pPr>
        <w:jc w:val="both"/>
        <w:rPr>
          <w:rFonts w:cs="Arial"/>
          <w:szCs w:val="22"/>
        </w:rPr>
      </w:pPr>
      <w:r w:rsidRPr="000045C6">
        <w:rPr>
          <w:rFonts w:cs="Arial"/>
          <w:szCs w:val="22"/>
        </w:rPr>
        <w:t xml:space="preserve">Les indemnités suivantes sont utilisées pour construire le nouveau régime indemnitaire : </w:t>
      </w:r>
    </w:p>
    <w:p w14:paraId="3DCE8725" w14:textId="77777777" w:rsidR="00B075B7" w:rsidRPr="000045C6" w:rsidRDefault="00B075B7" w:rsidP="00B075B7">
      <w:pPr>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4"/>
        <w:gridCol w:w="2991"/>
        <w:gridCol w:w="2984"/>
        <w:gridCol w:w="53"/>
      </w:tblGrid>
      <w:tr w:rsidR="00B075B7" w:rsidRPr="000045C6" w14:paraId="28C11FFE" w14:textId="77777777" w:rsidTr="00010259">
        <w:trPr>
          <w:gridAfter w:val="1"/>
          <w:wAfter w:w="58" w:type="dxa"/>
        </w:trPr>
        <w:tc>
          <w:tcPr>
            <w:tcW w:w="3234" w:type="dxa"/>
            <w:tcBorders>
              <w:top w:val="single" w:sz="4" w:space="0" w:color="auto"/>
              <w:left w:val="single" w:sz="4" w:space="0" w:color="auto"/>
              <w:bottom w:val="single" w:sz="4" w:space="0" w:color="auto"/>
              <w:right w:val="single" w:sz="4" w:space="0" w:color="auto"/>
            </w:tcBorders>
            <w:vAlign w:val="center"/>
            <w:hideMark/>
          </w:tcPr>
          <w:p w14:paraId="37235FA6" w14:textId="77777777" w:rsidR="00B075B7" w:rsidRPr="000045C6" w:rsidRDefault="00B075B7" w:rsidP="00010259">
            <w:pPr>
              <w:keepNext/>
              <w:spacing w:line="276" w:lineRule="auto"/>
              <w:jc w:val="center"/>
              <w:outlineLvl w:val="0"/>
              <w:rPr>
                <w:rFonts w:cs="Arial"/>
                <w:b/>
                <w:bCs/>
                <w:szCs w:val="22"/>
                <w:lang w:eastAsia="en-US"/>
              </w:rPr>
            </w:pPr>
            <w:r w:rsidRPr="000045C6">
              <w:rPr>
                <w:rFonts w:cs="Arial"/>
                <w:b/>
                <w:bCs/>
                <w:szCs w:val="22"/>
                <w:lang w:eastAsia="en-US"/>
              </w:rPr>
              <w:t>PRIME</w:t>
            </w:r>
          </w:p>
          <w:p w14:paraId="63192889" w14:textId="77777777" w:rsidR="00B075B7" w:rsidRPr="000045C6" w:rsidRDefault="00B075B7" w:rsidP="00010259">
            <w:pPr>
              <w:spacing w:line="276" w:lineRule="auto"/>
              <w:jc w:val="center"/>
              <w:rPr>
                <w:rFonts w:cs="Arial"/>
                <w:b/>
                <w:bCs/>
                <w:szCs w:val="22"/>
                <w:lang w:eastAsia="en-US"/>
              </w:rPr>
            </w:pPr>
            <w:r w:rsidRPr="000045C6">
              <w:rPr>
                <w:rFonts w:cs="Arial"/>
                <w:b/>
                <w:bCs/>
                <w:szCs w:val="22"/>
                <w:lang w:eastAsia="en-US"/>
              </w:rPr>
              <w:t>Texte de référence</w:t>
            </w:r>
          </w:p>
        </w:tc>
        <w:tc>
          <w:tcPr>
            <w:tcW w:w="6469" w:type="dxa"/>
            <w:gridSpan w:val="2"/>
            <w:tcBorders>
              <w:top w:val="single" w:sz="4" w:space="0" w:color="auto"/>
              <w:left w:val="single" w:sz="4" w:space="0" w:color="auto"/>
              <w:bottom w:val="single" w:sz="4" w:space="0" w:color="auto"/>
              <w:right w:val="single" w:sz="4" w:space="0" w:color="auto"/>
            </w:tcBorders>
            <w:vAlign w:val="center"/>
            <w:hideMark/>
          </w:tcPr>
          <w:p w14:paraId="573509AD" w14:textId="77777777" w:rsidR="00B075B7" w:rsidRPr="000045C6" w:rsidRDefault="00B075B7" w:rsidP="00010259">
            <w:pPr>
              <w:spacing w:line="276" w:lineRule="auto"/>
              <w:jc w:val="center"/>
              <w:rPr>
                <w:rFonts w:cs="Arial"/>
                <w:b/>
                <w:bCs/>
                <w:szCs w:val="22"/>
                <w:lang w:eastAsia="en-US"/>
              </w:rPr>
            </w:pPr>
            <w:r w:rsidRPr="000045C6">
              <w:rPr>
                <w:rFonts w:cs="Arial"/>
                <w:b/>
                <w:szCs w:val="22"/>
                <w:lang w:eastAsia="en-US"/>
              </w:rPr>
              <w:t>MONTANT ANNUEL FIXE PAR LES TEXTES</w:t>
            </w:r>
          </w:p>
        </w:tc>
      </w:tr>
      <w:tr w:rsidR="00B075B7" w:rsidRPr="000045C6" w14:paraId="41F98101" w14:textId="77777777" w:rsidTr="00010259">
        <w:tc>
          <w:tcPr>
            <w:tcW w:w="3234" w:type="dxa"/>
            <w:tcBorders>
              <w:top w:val="single" w:sz="4" w:space="0" w:color="auto"/>
              <w:left w:val="single" w:sz="4" w:space="0" w:color="auto"/>
              <w:bottom w:val="single" w:sz="4" w:space="0" w:color="auto"/>
              <w:right w:val="single" w:sz="4" w:space="0" w:color="auto"/>
            </w:tcBorders>
            <w:vAlign w:val="center"/>
          </w:tcPr>
          <w:p w14:paraId="13F52D91" w14:textId="77777777" w:rsidR="00B075B7" w:rsidRPr="000045C6" w:rsidRDefault="00B075B7" w:rsidP="00010259">
            <w:pPr>
              <w:spacing w:line="276" w:lineRule="auto"/>
              <w:rPr>
                <w:rFonts w:cs="Arial"/>
                <w:b/>
                <w:bCs/>
                <w:szCs w:val="22"/>
                <w:lang w:eastAsia="en-US"/>
              </w:rPr>
            </w:pPr>
            <w:r w:rsidRPr="000045C6">
              <w:rPr>
                <w:rFonts w:cs="Arial"/>
                <w:b/>
                <w:bCs/>
                <w:szCs w:val="22"/>
                <w:lang w:eastAsia="en-US"/>
              </w:rPr>
              <w:t>Régime Indemnitaire tenant compte des Fonctions, des Sujétions, de l’Expertise et de l’Engagement Professionnel (RIFSEEP)</w:t>
            </w:r>
          </w:p>
          <w:p w14:paraId="3FE1C26E" w14:textId="77777777" w:rsidR="00B075B7" w:rsidRPr="000045C6" w:rsidRDefault="00B075B7" w:rsidP="00010259">
            <w:pPr>
              <w:spacing w:line="276" w:lineRule="auto"/>
              <w:rPr>
                <w:rFonts w:cs="Arial"/>
                <w:i/>
                <w:iCs/>
                <w:szCs w:val="22"/>
                <w:lang w:eastAsia="en-US"/>
              </w:rPr>
            </w:pPr>
            <w:r w:rsidRPr="000045C6">
              <w:rPr>
                <w:rFonts w:cs="Arial"/>
                <w:i/>
                <w:iCs/>
                <w:szCs w:val="22"/>
                <w:lang w:eastAsia="en-US"/>
              </w:rPr>
              <w:t>Décret n° 2014-513 du 20/05/2014</w:t>
            </w:r>
          </w:p>
          <w:p w14:paraId="52ECDCFD" w14:textId="77777777" w:rsidR="00B075B7" w:rsidRPr="000045C6" w:rsidRDefault="00B075B7" w:rsidP="00010259">
            <w:pPr>
              <w:spacing w:line="276" w:lineRule="auto"/>
              <w:rPr>
                <w:rFonts w:cs="Arial"/>
                <w:b/>
                <w:bCs/>
                <w:szCs w:val="22"/>
                <w:lang w:eastAsia="en-US"/>
              </w:rPr>
            </w:pPr>
          </w:p>
        </w:tc>
        <w:tc>
          <w:tcPr>
            <w:tcW w:w="3234" w:type="dxa"/>
            <w:tcBorders>
              <w:top w:val="single" w:sz="4" w:space="0" w:color="auto"/>
              <w:left w:val="single" w:sz="4" w:space="0" w:color="auto"/>
              <w:bottom w:val="single" w:sz="4" w:space="0" w:color="auto"/>
              <w:right w:val="single" w:sz="4" w:space="0" w:color="auto"/>
            </w:tcBorders>
            <w:vAlign w:val="center"/>
            <w:hideMark/>
          </w:tcPr>
          <w:p w14:paraId="63E6A662" w14:textId="77777777" w:rsidR="00B075B7" w:rsidRPr="000045C6" w:rsidRDefault="00B075B7" w:rsidP="00010259">
            <w:pPr>
              <w:spacing w:line="276" w:lineRule="auto"/>
              <w:rPr>
                <w:rFonts w:cs="Arial"/>
                <w:szCs w:val="22"/>
                <w:lang w:eastAsia="en-US"/>
              </w:rPr>
            </w:pPr>
            <w:r w:rsidRPr="000045C6">
              <w:rPr>
                <w:rFonts w:cs="Arial"/>
                <w:szCs w:val="22"/>
                <w:lang w:eastAsia="en-US"/>
              </w:rPr>
              <w:t>Montants maximums annuels de l’IFSE et du CIA applicables à chaque grade et fixé par arrêtés ministériels</w:t>
            </w:r>
          </w:p>
        </w:tc>
        <w:tc>
          <w:tcPr>
            <w:tcW w:w="3235" w:type="dxa"/>
            <w:gridSpan w:val="2"/>
            <w:tcBorders>
              <w:top w:val="single" w:sz="4" w:space="0" w:color="auto"/>
              <w:left w:val="single" w:sz="4" w:space="0" w:color="auto"/>
              <w:bottom w:val="single" w:sz="4" w:space="0" w:color="auto"/>
              <w:right w:val="single" w:sz="4" w:space="0" w:color="auto"/>
            </w:tcBorders>
            <w:vAlign w:val="center"/>
          </w:tcPr>
          <w:p w14:paraId="2289DA97" w14:textId="77777777" w:rsidR="00B075B7" w:rsidRPr="000045C6" w:rsidRDefault="00B075B7" w:rsidP="00010259">
            <w:pPr>
              <w:spacing w:line="276" w:lineRule="auto"/>
              <w:rPr>
                <w:rFonts w:cs="Arial"/>
                <w:szCs w:val="22"/>
                <w:lang w:eastAsia="en-US"/>
              </w:rPr>
            </w:pPr>
            <w:r w:rsidRPr="000045C6">
              <w:rPr>
                <w:rFonts w:cs="Arial"/>
                <w:szCs w:val="22"/>
                <w:lang w:eastAsia="en-US"/>
              </w:rPr>
              <w:t>Tous cadres d’emplois à l’exclusion des agents de police municipale</w:t>
            </w:r>
          </w:p>
          <w:p w14:paraId="1D93964B" w14:textId="77777777" w:rsidR="00B075B7" w:rsidRPr="000045C6" w:rsidRDefault="00B075B7" w:rsidP="00010259">
            <w:pPr>
              <w:spacing w:line="276" w:lineRule="auto"/>
              <w:rPr>
                <w:rFonts w:cs="Arial"/>
                <w:szCs w:val="22"/>
                <w:lang w:eastAsia="en-US"/>
              </w:rPr>
            </w:pPr>
          </w:p>
        </w:tc>
      </w:tr>
    </w:tbl>
    <w:p w14:paraId="1BD6E153" w14:textId="77777777" w:rsidR="00B075B7" w:rsidRPr="000045C6" w:rsidRDefault="00B075B7" w:rsidP="00B075B7">
      <w:pPr>
        <w:rPr>
          <w:rFonts w:cs="Arial"/>
          <w:b/>
          <w:bCs/>
          <w:szCs w:val="22"/>
          <w:u w:val="single"/>
        </w:rPr>
      </w:pPr>
    </w:p>
    <w:p w14:paraId="1D8EFE74" w14:textId="77777777" w:rsidR="00B075B7" w:rsidRPr="000045C6" w:rsidRDefault="00B075B7" w:rsidP="00B075B7">
      <w:pPr>
        <w:spacing w:after="120"/>
        <w:jc w:val="both"/>
        <w:rPr>
          <w:rFonts w:cs="Arial"/>
          <w:szCs w:val="22"/>
        </w:rPr>
      </w:pPr>
      <w:r w:rsidRPr="000045C6">
        <w:rPr>
          <w:rFonts w:cs="Arial"/>
          <w:b/>
          <w:bCs/>
          <w:szCs w:val="22"/>
          <w:u w:val="single"/>
        </w:rPr>
        <w:t>Article 3</w:t>
      </w:r>
      <w:r w:rsidRPr="000045C6">
        <w:rPr>
          <w:rFonts w:cs="Arial"/>
          <w:szCs w:val="22"/>
        </w:rPr>
        <w:t xml:space="preserve"> : </w:t>
      </w:r>
    </w:p>
    <w:p w14:paraId="11C45EB1" w14:textId="77777777" w:rsidR="00B075B7" w:rsidRPr="000045C6" w:rsidRDefault="00B075B7" w:rsidP="00B075B7">
      <w:pPr>
        <w:spacing w:after="120"/>
        <w:jc w:val="both"/>
        <w:rPr>
          <w:rFonts w:cs="Arial"/>
          <w:szCs w:val="22"/>
        </w:rPr>
      </w:pPr>
      <w:r w:rsidRPr="000045C6">
        <w:rPr>
          <w:rFonts w:cs="Arial"/>
          <w:szCs w:val="22"/>
        </w:rPr>
        <w:t xml:space="preserve">Le régime indemnitaire sera versé aux agents stagiaires et titulaires </w:t>
      </w:r>
      <w:r w:rsidRPr="000045C6">
        <w:rPr>
          <w:rFonts w:cs="Arial"/>
          <w:b/>
          <w:bCs/>
          <w:szCs w:val="22"/>
        </w:rPr>
        <w:t>ainsi qu’aux contractuels de droit public sur emploi permanent ou non permanent,</w:t>
      </w:r>
      <w:r w:rsidRPr="000045C6">
        <w:rPr>
          <w:rFonts w:cs="Arial"/>
          <w:szCs w:val="22"/>
        </w:rPr>
        <w:t xml:space="preserve"> à l’exclusion des vacataires.</w:t>
      </w:r>
    </w:p>
    <w:p w14:paraId="357168C5" w14:textId="77777777" w:rsidR="00B075B7" w:rsidRPr="000045C6" w:rsidRDefault="00B075B7" w:rsidP="00B075B7">
      <w:pPr>
        <w:spacing w:before="240" w:after="120"/>
        <w:jc w:val="both"/>
        <w:rPr>
          <w:rFonts w:cs="Arial"/>
          <w:b/>
          <w:bCs/>
          <w:szCs w:val="22"/>
        </w:rPr>
      </w:pPr>
      <w:r w:rsidRPr="000045C6">
        <w:rPr>
          <w:rFonts w:cs="Arial"/>
          <w:b/>
          <w:bCs/>
          <w:szCs w:val="22"/>
          <w:u w:val="single"/>
        </w:rPr>
        <w:t>Article 4 :</w:t>
      </w:r>
      <w:r w:rsidRPr="000045C6">
        <w:rPr>
          <w:rFonts w:cs="Arial"/>
          <w:b/>
          <w:bCs/>
          <w:szCs w:val="22"/>
        </w:rPr>
        <w:t xml:space="preserve"> </w:t>
      </w:r>
    </w:p>
    <w:p w14:paraId="5ACD1772" w14:textId="77777777" w:rsidR="00B075B7" w:rsidRPr="000045C6" w:rsidRDefault="00B075B7" w:rsidP="00B075B7">
      <w:pPr>
        <w:jc w:val="both"/>
        <w:rPr>
          <w:rFonts w:cs="Arial"/>
          <w:szCs w:val="22"/>
        </w:rPr>
      </w:pPr>
      <w:r w:rsidRPr="000045C6">
        <w:rPr>
          <w:rFonts w:cs="Arial"/>
          <w:szCs w:val="22"/>
        </w:rPr>
        <w:t>Le régime indemnitaire sera composé de deux parts : une part fixe (IFSE) et une part variable (CIA).</w:t>
      </w:r>
    </w:p>
    <w:p w14:paraId="09094E01" w14:textId="77777777" w:rsidR="00B075B7" w:rsidRPr="000045C6" w:rsidRDefault="00B075B7" w:rsidP="00B075B7">
      <w:pPr>
        <w:jc w:val="both"/>
        <w:rPr>
          <w:rFonts w:cs="Arial"/>
          <w:szCs w:val="22"/>
        </w:rPr>
      </w:pPr>
    </w:p>
    <w:p w14:paraId="45022AD2" w14:textId="77777777" w:rsidR="00B075B7" w:rsidRPr="000045C6" w:rsidRDefault="00B075B7" w:rsidP="00B075B7">
      <w:pPr>
        <w:numPr>
          <w:ilvl w:val="0"/>
          <w:numId w:val="3"/>
        </w:numPr>
        <w:jc w:val="both"/>
        <w:rPr>
          <w:rFonts w:cs="Arial"/>
          <w:szCs w:val="22"/>
          <w:u w:val="single"/>
        </w:rPr>
      </w:pPr>
      <w:r w:rsidRPr="000045C6">
        <w:rPr>
          <w:rFonts w:cs="Arial"/>
          <w:szCs w:val="22"/>
          <w:u w:val="single"/>
        </w:rPr>
        <w:t>La part fixe (Indemnité de Fonctions, de Sujétions et d’Expertise – IFSE)</w:t>
      </w:r>
    </w:p>
    <w:p w14:paraId="7F318570" w14:textId="77777777" w:rsidR="00B075B7" w:rsidRPr="000045C6" w:rsidRDefault="00B075B7" w:rsidP="00B075B7">
      <w:pPr>
        <w:spacing w:before="120"/>
        <w:jc w:val="both"/>
        <w:rPr>
          <w:rFonts w:cs="Arial"/>
          <w:szCs w:val="22"/>
        </w:rPr>
      </w:pPr>
      <w:r w:rsidRPr="000045C6">
        <w:rPr>
          <w:rFonts w:cs="Arial"/>
          <w:szCs w:val="22"/>
        </w:rPr>
        <w:t>Une part fixe (IFSE) basée sur des niveaux de responsabilités et l’expérience professionnelle acquise.</w:t>
      </w:r>
    </w:p>
    <w:p w14:paraId="29D92102" w14:textId="77777777" w:rsidR="00B075B7" w:rsidRPr="000045C6" w:rsidRDefault="00B075B7" w:rsidP="00B075B7">
      <w:pPr>
        <w:jc w:val="both"/>
        <w:rPr>
          <w:rFonts w:cs="Arial"/>
          <w:szCs w:val="22"/>
        </w:rPr>
      </w:pPr>
    </w:p>
    <w:p w14:paraId="09D4255E" w14:textId="77777777" w:rsidR="00B075B7" w:rsidRPr="000045C6" w:rsidRDefault="00B075B7" w:rsidP="00B075B7">
      <w:pPr>
        <w:numPr>
          <w:ilvl w:val="0"/>
          <w:numId w:val="3"/>
        </w:numPr>
        <w:contextualSpacing/>
        <w:jc w:val="both"/>
        <w:rPr>
          <w:rFonts w:cs="Arial"/>
          <w:szCs w:val="22"/>
          <w:u w:val="single"/>
        </w:rPr>
      </w:pPr>
      <w:r w:rsidRPr="000045C6">
        <w:rPr>
          <w:rFonts w:cs="Arial"/>
          <w:szCs w:val="22"/>
          <w:u w:val="single"/>
        </w:rPr>
        <w:t>La part variable (Complément Indemnitaire Annuel – CIA) :</w:t>
      </w:r>
    </w:p>
    <w:p w14:paraId="2AAA403F" w14:textId="77777777" w:rsidR="00B075B7" w:rsidRPr="000045C6" w:rsidRDefault="00B075B7" w:rsidP="00B075B7">
      <w:pPr>
        <w:spacing w:before="120"/>
        <w:jc w:val="both"/>
        <w:rPr>
          <w:rFonts w:cs="Arial"/>
          <w:szCs w:val="22"/>
        </w:rPr>
      </w:pPr>
      <w:r w:rsidRPr="000045C6">
        <w:rPr>
          <w:rFonts w:cs="Arial"/>
          <w:szCs w:val="22"/>
        </w:rPr>
        <w:t>Une part variable (CIA), appréciée lors de l’entretien professionnel annuel (ou à défaut via tout autre moyen d’évaluation par le responsable hiérarchique) qui tient compte de l’engagement professionnel et de la manière de servir.</w:t>
      </w:r>
    </w:p>
    <w:p w14:paraId="606F7419" w14:textId="77777777" w:rsidR="00B075B7" w:rsidRPr="000045C6" w:rsidRDefault="00B075B7" w:rsidP="00B075B7">
      <w:pPr>
        <w:spacing w:before="120"/>
        <w:jc w:val="both"/>
        <w:rPr>
          <w:rFonts w:cs="Arial"/>
          <w:b/>
          <w:i/>
          <w:szCs w:val="22"/>
          <w:highlight w:val="yellow"/>
        </w:rPr>
      </w:pPr>
      <w:r w:rsidRPr="000045C6">
        <w:rPr>
          <w:rFonts w:cs="Arial"/>
          <w:b/>
          <w:i/>
          <w:szCs w:val="22"/>
          <w:highlight w:val="yellow"/>
          <w:u w:val="single"/>
        </w:rPr>
        <w:t>Exemples de critères à titre indicatif</w:t>
      </w:r>
      <w:r w:rsidRPr="000045C6">
        <w:rPr>
          <w:rFonts w:cs="Arial"/>
          <w:b/>
          <w:i/>
          <w:szCs w:val="22"/>
          <w:highlight w:val="yellow"/>
        </w:rPr>
        <w:t xml:space="preserve"> qui peuvent être pondérés par critères satisfaits : sens de l’organisation, sens du service public, initiative, conscience professionnelle, capacité à travailler en équipe (solidarité, entraide), ponctualité, conscience professionnelle … </w:t>
      </w:r>
    </w:p>
    <w:p w14:paraId="2EC5BA4D" w14:textId="77777777" w:rsidR="00B075B7" w:rsidRPr="000045C6" w:rsidRDefault="00B075B7" w:rsidP="00B075B7">
      <w:pPr>
        <w:jc w:val="both"/>
        <w:rPr>
          <w:rFonts w:cs="Arial"/>
          <w:szCs w:val="22"/>
        </w:rPr>
      </w:pPr>
    </w:p>
    <w:p w14:paraId="7288DFEE" w14:textId="77777777" w:rsidR="00B075B7" w:rsidRPr="00A3190F" w:rsidRDefault="00B075B7" w:rsidP="00B075B7">
      <w:pPr>
        <w:numPr>
          <w:ilvl w:val="0"/>
          <w:numId w:val="3"/>
        </w:numPr>
        <w:jc w:val="both"/>
        <w:rPr>
          <w:rFonts w:cs="Arial"/>
          <w:szCs w:val="22"/>
          <w:u w:val="single"/>
        </w:rPr>
      </w:pPr>
      <w:r w:rsidRPr="00A3190F">
        <w:rPr>
          <w:rFonts w:cs="Arial"/>
          <w:szCs w:val="22"/>
          <w:u w:val="single"/>
        </w:rPr>
        <w:t>Détermination des groupes de fonctions et plafonds</w:t>
      </w:r>
    </w:p>
    <w:p w14:paraId="0803A400" w14:textId="77777777" w:rsidR="00B075B7" w:rsidRPr="00A3190F" w:rsidRDefault="00B075B7" w:rsidP="00B075B7">
      <w:pPr>
        <w:jc w:val="both"/>
        <w:rPr>
          <w:rFonts w:cs="Arial"/>
          <w:szCs w:val="22"/>
        </w:rPr>
      </w:pPr>
    </w:p>
    <w:p w14:paraId="0EB75544" w14:textId="77777777" w:rsidR="00B075B7" w:rsidRPr="00A3190F" w:rsidRDefault="00B075B7" w:rsidP="00B075B7">
      <w:pPr>
        <w:rPr>
          <w:rFonts w:cs="Arial"/>
          <w:b/>
          <w:i/>
          <w:szCs w:val="22"/>
        </w:rPr>
      </w:pPr>
      <w:r w:rsidRPr="00A3190F">
        <w:rPr>
          <w:rFonts w:cs="Arial"/>
          <w:b/>
          <w:i/>
          <w:szCs w:val="22"/>
          <w:highlight w:val="yellow"/>
        </w:rPr>
        <w:t>EXEMPLE 1 donné à titre indicatif, devant être adapté aux besoins de la collectivité :</w:t>
      </w:r>
    </w:p>
    <w:p w14:paraId="2A4ECD33" w14:textId="77777777" w:rsidR="00B075B7" w:rsidRPr="00A3190F" w:rsidRDefault="00B075B7" w:rsidP="00B075B7">
      <w:pPr>
        <w:jc w:val="both"/>
        <w:rPr>
          <w:rFonts w:cs="Arial"/>
          <w:szCs w:val="22"/>
        </w:rPr>
      </w:pPr>
    </w:p>
    <w:tbl>
      <w:tblPr>
        <w:tblW w:w="10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73"/>
        <w:gridCol w:w="1672"/>
        <w:gridCol w:w="1304"/>
        <w:gridCol w:w="1304"/>
        <w:gridCol w:w="1672"/>
        <w:gridCol w:w="1304"/>
        <w:gridCol w:w="1304"/>
      </w:tblGrid>
      <w:tr w:rsidR="00B075B7" w:rsidRPr="00A3190F" w14:paraId="53E8C81A" w14:textId="77777777" w:rsidTr="00010259">
        <w:tc>
          <w:tcPr>
            <w:tcW w:w="2455" w:type="dxa"/>
            <w:gridSpan w:val="2"/>
            <w:vMerge w:val="restart"/>
            <w:tcBorders>
              <w:top w:val="single" w:sz="4" w:space="0" w:color="auto"/>
              <w:left w:val="single" w:sz="4" w:space="0" w:color="auto"/>
              <w:bottom w:val="single" w:sz="4" w:space="0" w:color="auto"/>
              <w:right w:val="single" w:sz="4" w:space="0" w:color="auto"/>
            </w:tcBorders>
          </w:tcPr>
          <w:p w14:paraId="2C22D98C"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 xml:space="preserve">GROUPES DE FONCTIONS </w:t>
            </w:r>
          </w:p>
          <w:p w14:paraId="5000964B" w14:textId="77777777" w:rsidR="00B075B7" w:rsidRPr="00A3190F" w:rsidRDefault="00B075B7" w:rsidP="00010259">
            <w:pPr>
              <w:spacing w:line="276" w:lineRule="auto"/>
              <w:jc w:val="center"/>
              <w:rPr>
                <w:rFonts w:eastAsia="Calibri" w:cs="Arial"/>
                <w:szCs w:val="22"/>
                <w:lang w:eastAsia="en-US"/>
              </w:rPr>
            </w:pPr>
          </w:p>
          <w:p w14:paraId="41928B32" w14:textId="77777777" w:rsidR="00B075B7" w:rsidRPr="00A3190F" w:rsidRDefault="00B075B7" w:rsidP="00010259">
            <w:pPr>
              <w:spacing w:line="276" w:lineRule="auto"/>
              <w:jc w:val="center"/>
              <w:rPr>
                <w:rFonts w:eastAsia="Calibri" w:cs="Arial"/>
                <w:b/>
                <w:bCs/>
                <w:szCs w:val="22"/>
                <w:lang w:eastAsia="en-US"/>
              </w:rPr>
            </w:pPr>
            <w:r w:rsidRPr="00A3190F">
              <w:rPr>
                <w:rFonts w:eastAsia="Calibri" w:cs="Arial"/>
                <w:b/>
                <w:bCs/>
                <w:szCs w:val="22"/>
                <w:lang w:eastAsia="en-US"/>
              </w:rPr>
              <w:t>Indiquer la fonction + le cadre d’emploi</w:t>
            </w:r>
          </w:p>
        </w:tc>
        <w:tc>
          <w:tcPr>
            <w:tcW w:w="1672" w:type="dxa"/>
            <w:vMerge w:val="restart"/>
            <w:tcBorders>
              <w:top w:val="single" w:sz="4" w:space="0" w:color="auto"/>
              <w:left w:val="single" w:sz="4" w:space="0" w:color="auto"/>
              <w:bottom w:val="single" w:sz="4" w:space="0" w:color="auto"/>
              <w:right w:val="single" w:sz="4" w:space="0" w:color="auto"/>
            </w:tcBorders>
            <w:hideMark/>
          </w:tcPr>
          <w:p w14:paraId="2DF2CFBD"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Part fixe (IFSE</w:t>
            </w:r>
            <w:proofErr w:type="gramStart"/>
            <w:r w:rsidRPr="00A3190F">
              <w:rPr>
                <w:rFonts w:eastAsia="Calibri" w:cs="Arial"/>
                <w:szCs w:val="22"/>
                <w:lang w:eastAsia="en-US"/>
              </w:rPr>
              <w:t>):</w:t>
            </w:r>
            <w:proofErr w:type="gramEnd"/>
            <w:r w:rsidRPr="00A3190F">
              <w:rPr>
                <w:rFonts w:eastAsia="Calibri" w:cs="Arial"/>
                <w:szCs w:val="22"/>
                <w:lang w:eastAsia="en-US"/>
              </w:rPr>
              <w:t xml:space="preserve"> Montants plafonds annuels réglementaires maximum</w:t>
            </w:r>
          </w:p>
        </w:tc>
        <w:tc>
          <w:tcPr>
            <w:tcW w:w="2477" w:type="dxa"/>
            <w:gridSpan w:val="2"/>
            <w:tcBorders>
              <w:top w:val="single" w:sz="4" w:space="0" w:color="auto"/>
              <w:left w:val="single" w:sz="4" w:space="0" w:color="auto"/>
              <w:bottom w:val="single" w:sz="4" w:space="0" w:color="auto"/>
              <w:right w:val="single" w:sz="4" w:space="0" w:color="auto"/>
            </w:tcBorders>
            <w:hideMark/>
          </w:tcPr>
          <w:p w14:paraId="57183F94"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 xml:space="preserve">Part fixe (IFSE) : </w:t>
            </w:r>
          </w:p>
          <w:p w14:paraId="584BFA43"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 xml:space="preserve">Montants annuels </w:t>
            </w:r>
            <w:r w:rsidRPr="00A3190F">
              <w:rPr>
                <w:rFonts w:eastAsia="Calibri" w:cs="Arial"/>
                <w:szCs w:val="22"/>
                <w:u w:val="single"/>
                <w:lang w:eastAsia="en-US"/>
              </w:rPr>
              <w:t>retenus par la collectivité</w:t>
            </w:r>
          </w:p>
        </w:tc>
        <w:tc>
          <w:tcPr>
            <w:tcW w:w="1672" w:type="dxa"/>
            <w:vMerge w:val="restart"/>
            <w:tcBorders>
              <w:top w:val="single" w:sz="4" w:space="0" w:color="auto"/>
              <w:left w:val="single" w:sz="4" w:space="0" w:color="auto"/>
              <w:bottom w:val="single" w:sz="4" w:space="0" w:color="auto"/>
              <w:right w:val="single" w:sz="4" w:space="0" w:color="auto"/>
            </w:tcBorders>
            <w:hideMark/>
          </w:tcPr>
          <w:p w14:paraId="75CCD2F3"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Part variable (CIA) : Montants plafonds annuels réglementaires maximum</w:t>
            </w:r>
          </w:p>
        </w:tc>
        <w:tc>
          <w:tcPr>
            <w:tcW w:w="2608" w:type="dxa"/>
            <w:gridSpan w:val="2"/>
            <w:tcBorders>
              <w:top w:val="single" w:sz="4" w:space="0" w:color="auto"/>
              <w:left w:val="single" w:sz="4" w:space="0" w:color="auto"/>
              <w:bottom w:val="single" w:sz="4" w:space="0" w:color="auto"/>
              <w:right w:val="single" w:sz="4" w:space="0" w:color="auto"/>
            </w:tcBorders>
            <w:hideMark/>
          </w:tcPr>
          <w:p w14:paraId="4DC5A2B9"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Part variable (CIA</w:t>
            </w:r>
            <w:proofErr w:type="gramStart"/>
            <w:r w:rsidRPr="00A3190F">
              <w:rPr>
                <w:rFonts w:eastAsia="Calibri" w:cs="Arial"/>
                <w:szCs w:val="22"/>
                <w:lang w:eastAsia="en-US"/>
              </w:rPr>
              <w:t>):</w:t>
            </w:r>
            <w:proofErr w:type="gramEnd"/>
            <w:r w:rsidRPr="00A3190F">
              <w:rPr>
                <w:rFonts w:eastAsia="Calibri" w:cs="Arial"/>
                <w:szCs w:val="22"/>
                <w:lang w:eastAsia="en-US"/>
              </w:rPr>
              <w:t xml:space="preserve"> </w:t>
            </w:r>
          </w:p>
          <w:p w14:paraId="32006328"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 xml:space="preserve">Montants annuels </w:t>
            </w:r>
            <w:r w:rsidRPr="00A3190F">
              <w:rPr>
                <w:rFonts w:eastAsia="Calibri" w:cs="Arial"/>
                <w:szCs w:val="22"/>
                <w:u w:val="single"/>
                <w:lang w:eastAsia="en-US"/>
              </w:rPr>
              <w:t>retenus par la collectivité</w:t>
            </w:r>
          </w:p>
        </w:tc>
      </w:tr>
      <w:tr w:rsidR="00B075B7" w:rsidRPr="00A3190F" w14:paraId="06D9E531" w14:textId="77777777" w:rsidTr="00010259">
        <w:trPr>
          <w:trHeight w:val="71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516DBB" w14:textId="77777777" w:rsidR="00B075B7" w:rsidRPr="00A3190F" w:rsidRDefault="00B075B7" w:rsidP="00010259">
            <w:pPr>
              <w:spacing w:line="276" w:lineRule="auto"/>
              <w:rPr>
                <w:rFonts w:eastAsia="Calibri" w:cs="Arial"/>
                <w:b/>
                <w:bCs/>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B6211" w14:textId="77777777" w:rsidR="00B075B7" w:rsidRPr="00A3190F" w:rsidRDefault="00B075B7" w:rsidP="00010259">
            <w:pPr>
              <w:spacing w:line="276" w:lineRule="auto"/>
              <w:rPr>
                <w:rFonts w:eastAsia="Calibri" w:cs="Arial"/>
                <w:szCs w:val="22"/>
                <w:lang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7B1E1CC9"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Montants planchers</w:t>
            </w:r>
          </w:p>
        </w:tc>
        <w:tc>
          <w:tcPr>
            <w:tcW w:w="1173" w:type="dxa"/>
            <w:tcBorders>
              <w:top w:val="single" w:sz="4" w:space="0" w:color="auto"/>
              <w:left w:val="single" w:sz="4" w:space="0" w:color="auto"/>
              <w:bottom w:val="single" w:sz="4" w:space="0" w:color="auto"/>
              <w:right w:val="single" w:sz="4" w:space="0" w:color="auto"/>
            </w:tcBorders>
            <w:vAlign w:val="center"/>
            <w:hideMark/>
          </w:tcPr>
          <w:p w14:paraId="4D433977"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Montants plafonds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05A2E" w14:textId="77777777" w:rsidR="00B075B7" w:rsidRPr="00A3190F" w:rsidRDefault="00B075B7" w:rsidP="00010259">
            <w:pPr>
              <w:spacing w:line="276" w:lineRule="auto"/>
              <w:rPr>
                <w:rFonts w:eastAsia="Calibri" w:cs="Arial"/>
                <w:szCs w:val="22"/>
                <w:lang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53906948"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Montants planchers</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623CF70"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Montants plafonds</w:t>
            </w:r>
          </w:p>
        </w:tc>
      </w:tr>
      <w:tr w:rsidR="00B075B7" w:rsidRPr="00A3190F" w14:paraId="2ECCBDEF" w14:textId="77777777" w:rsidTr="00010259">
        <w:tc>
          <w:tcPr>
            <w:tcW w:w="771" w:type="dxa"/>
            <w:tcBorders>
              <w:top w:val="single" w:sz="4" w:space="0" w:color="auto"/>
              <w:left w:val="single" w:sz="4" w:space="0" w:color="auto"/>
              <w:bottom w:val="single" w:sz="4" w:space="0" w:color="auto"/>
              <w:right w:val="single" w:sz="4" w:space="0" w:color="auto"/>
            </w:tcBorders>
            <w:hideMark/>
          </w:tcPr>
          <w:p w14:paraId="703A32AF"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A1</w:t>
            </w:r>
          </w:p>
        </w:tc>
        <w:tc>
          <w:tcPr>
            <w:tcW w:w="1684" w:type="dxa"/>
            <w:tcBorders>
              <w:top w:val="single" w:sz="4" w:space="0" w:color="auto"/>
              <w:left w:val="single" w:sz="4" w:space="0" w:color="auto"/>
              <w:bottom w:val="single" w:sz="4" w:space="0" w:color="auto"/>
              <w:right w:val="single" w:sz="4" w:space="0" w:color="auto"/>
            </w:tcBorders>
          </w:tcPr>
          <w:p w14:paraId="03B75206"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Poste de catégorie A</w:t>
            </w:r>
          </w:p>
          <w:p w14:paraId="2AD259C4" w14:textId="77777777" w:rsidR="00B075B7" w:rsidRPr="00A3190F" w:rsidRDefault="00B075B7" w:rsidP="00010259">
            <w:pPr>
              <w:spacing w:line="276" w:lineRule="auto"/>
              <w:rPr>
                <w:rFonts w:eastAsia="Calibri" w:cs="Arial"/>
                <w:szCs w:val="22"/>
                <w:lang w:eastAsia="en-US"/>
              </w:rPr>
            </w:pPr>
          </w:p>
          <w:p w14:paraId="62CA86C6"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Attaché</w:t>
            </w:r>
          </w:p>
          <w:p w14:paraId="0EA13A37" w14:textId="77777777" w:rsidR="00B075B7" w:rsidRPr="00A3190F" w:rsidRDefault="00B075B7" w:rsidP="00010259">
            <w:pPr>
              <w:spacing w:line="276" w:lineRule="auto"/>
              <w:rPr>
                <w:rFonts w:eastAsia="Calibri" w:cs="Arial"/>
                <w:szCs w:val="22"/>
                <w:lang w:eastAsia="en-US"/>
              </w:rPr>
            </w:pPr>
          </w:p>
          <w:p w14:paraId="5A43131D"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 xml:space="preserve">Fonction de direction générale </w:t>
            </w:r>
          </w:p>
        </w:tc>
        <w:tc>
          <w:tcPr>
            <w:tcW w:w="1672" w:type="dxa"/>
            <w:tcBorders>
              <w:top w:val="single" w:sz="4" w:space="0" w:color="auto"/>
              <w:left w:val="single" w:sz="4" w:space="0" w:color="auto"/>
              <w:bottom w:val="single" w:sz="4" w:space="0" w:color="auto"/>
              <w:right w:val="single" w:sz="4" w:space="0" w:color="auto"/>
            </w:tcBorders>
            <w:hideMark/>
          </w:tcPr>
          <w:p w14:paraId="5A413625"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36 210 €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2C717E4"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c>
          <w:tcPr>
            <w:tcW w:w="1173" w:type="dxa"/>
            <w:tcBorders>
              <w:top w:val="single" w:sz="4" w:space="0" w:color="auto"/>
              <w:left w:val="single" w:sz="4" w:space="0" w:color="auto"/>
              <w:bottom w:val="single" w:sz="4" w:space="0" w:color="auto"/>
              <w:right w:val="single" w:sz="4" w:space="0" w:color="auto"/>
            </w:tcBorders>
            <w:vAlign w:val="center"/>
            <w:hideMark/>
          </w:tcPr>
          <w:p w14:paraId="7AEC2F43" w14:textId="77777777" w:rsidR="00B075B7" w:rsidRPr="00A3190F" w:rsidRDefault="00B075B7" w:rsidP="00010259">
            <w:pPr>
              <w:spacing w:line="276" w:lineRule="auto"/>
              <w:jc w:val="center"/>
              <w:rPr>
                <w:rFonts w:eastAsia="Calibri" w:cs="Arial"/>
                <w:szCs w:val="22"/>
                <w:lang w:eastAsia="en-US"/>
              </w:rPr>
            </w:pPr>
            <w:r w:rsidRPr="00A3190F">
              <w:rPr>
                <w:rFonts w:cs="Arial"/>
                <w:b/>
                <w:i/>
                <w:szCs w:val="22"/>
                <w:highlight w:val="yellow"/>
                <w:lang w:eastAsia="en-US"/>
              </w:rPr>
              <w:t>Compléter</w:t>
            </w:r>
          </w:p>
        </w:tc>
        <w:tc>
          <w:tcPr>
            <w:tcW w:w="1672" w:type="dxa"/>
            <w:tcBorders>
              <w:top w:val="single" w:sz="4" w:space="0" w:color="auto"/>
              <w:left w:val="single" w:sz="4" w:space="0" w:color="auto"/>
              <w:bottom w:val="single" w:sz="4" w:space="0" w:color="auto"/>
              <w:right w:val="single" w:sz="4" w:space="0" w:color="auto"/>
            </w:tcBorders>
            <w:hideMark/>
          </w:tcPr>
          <w:p w14:paraId="51DE0856"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6390 €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F2B3C4" w14:textId="77777777" w:rsidR="00B075B7" w:rsidRPr="00A3190F" w:rsidRDefault="00B075B7" w:rsidP="00010259">
            <w:pPr>
              <w:spacing w:line="276" w:lineRule="auto"/>
              <w:jc w:val="center"/>
              <w:rPr>
                <w:rFonts w:cs="Arial"/>
                <w:b/>
                <w:i/>
                <w:szCs w:val="22"/>
                <w:highlight w:val="yellow"/>
                <w:lang w:eastAsia="en-US"/>
              </w:rPr>
            </w:pPr>
            <w:r w:rsidRPr="00A3190F">
              <w:rPr>
                <w:rFonts w:cs="Arial"/>
                <w:b/>
                <w:i/>
                <w:szCs w:val="22"/>
                <w:highlight w:val="yellow"/>
                <w:lang w:eastAsia="en-US"/>
              </w:rPr>
              <w:t>Compléter</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2E74EF3"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r>
      <w:tr w:rsidR="00B075B7" w:rsidRPr="00A3190F" w14:paraId="3E35703A" w14:textId="77777777" w:rsidTr="00010259">
        <w:tc>
          <w:tcPr>
            <w:tcW w:w="771" w:type="dxa"/>
            <w:tcBorders>
              <w:top w:val="single" w:sz="4" w:space="0" w:color="auto"/>
              <w:left w:val="single" w:sz="4" w:space="0" w:color="auto"/>
              <w:bottom w:val="single" w:sz="4" w:space="0" w:color="auto"/>
              <w:right w:val="single" w:sz="4" w:space="0" w:color="auto"/>
            </w:tcBorders>
            <w:hideMark/>
          </w:tcPr>
          <w:p w14:paraId="7F9F44D3"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B1</w:t>
            </w:r>
          </w:p>
        </w:tc>
        <w:tc>
          <w:tcPr>
            <w:tcW w:w="1684" w:type="dxa"/>
            <w:tcBorders>
              <w:top w:val="single" w:sz="4" w:space="0" w:color="auto"/>
              <w:left w:val="single" w:sz="4" w:space="0" w:color="auto"/>
              <w:bottom w:val="single" w:sz="4" w:space="0" w:color="auto"/>
              <w:right w:val="single" w:sz="4" w:space="0" w:color="auto"/>
            </w:tcBorders>
          </w:tcPr>
          <w:p w14:paraId="1C204C0A"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Poste de catégorie B</w:t>
            </w:r>
          </w:p>
          <w:p w14:paraId="1E11D900" w14:textId="77777777" w:rsidR="00B075B7" w:rsidRPr="00A3190F" w:rsidRDefault="00B075B7" w:rsidP="00010259">
            <w:pPr>
              <w:spacing w:line="276" w:lineRule="auto"/>
              <w:rPr>
                <w:rFonts w:eastAsia="Calibri" w:cs="Arial"/>
                <w:szCs w:val="22"/>
                <w:lang w:eastAsia="en-US"/>
              </w:rPr>
            </w:pPr>
          </w:p>
          <w:p w14:paraId="2DBEA5C6"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Rédacteur</w:t>
            </w:r>
          </w:p>
          <w:p w14:paraId="05EA6F6E" w14:textId="77777777" w:rsidR="00B075B7" w:rsidRPr="00A3190F" w:rsidRDefault="00B075B7" w:rsidP="00010259">
            <w:pPr>
              <w:spacing w:line="276" w:lineRule="auto"/>
              <w:rPr>
                <w:rFonts w:eastAsia="Calibri" w:cs="Arial"/>
                <w:szCs w:val="22"/>
                <w:lang w:eastAsia="en-US"/>
              </w:rPr>
            </w:pPr>
          </w:p>
          <w:p w14:paraId="0DC181EA"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Responsabilité d’un service à fortes sujétions et encadrement</w:t>
            </w:r>
          </w:p>
        </w:tc>
        <w:tc>
          <w:tcPr>
            <w:tcW w:w="1672" w:type="dxa"/>
            <w:tcBorders>
              <w:top w:val="single" w:sz="4" w:space="0" w:color="auto"/>
              <w:left w:val="single" w:sz="4" w:space="0" w:color="auto"/>
              <w:bottom w:val="single" w:sz="4" w:space="0" w:color="auto"/>
              <w:right w:val="single" w:sz="4" w:space="0" w:color="auto"/>
            </w:tcBorders>
            <w:hideMark/>
          </w:tcPr>
          <w:p w14:paraId="53A1B544"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17 480 €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DB3C193"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c>
          <w:tcPr>
            <w:tcW w:w="1173" w:type="dxa"/>
            <w:tcBorders>
              <w:top w:val="single" w:sz="4" w:space="0" w:color="auto"/>
              <w:left w:val="single" w:sz="4" w:space="0" w:color="auto"/>
              <w:bottom w:val="single" w:sz="4" w:space="0" w:color="auto"/>
              <w:right w:val="single" w:sz="4" w:space="0" w:color="auto"/>
            </w:tcBorders>
            <w:vAlign w:val="center"/>
            <w:hideMark/>
          </w:tcPr>
          <w:p w14:paraId="7416165E" w14:textId="77777777" w:rsidR="00B075B7" w:rsidRPr="00A3190F" w:rsidRDefault="00B075B7" w:rsidP="00010259">
            <w:pPr>
              <w:spacing w:line="276" w:lineRule="auto"/>
              <w:jc w:val="center"/>
              <w:rPr>
                <w:rFonts w:eastAsia="Calibri" w:cs="Arial"/>
                <w:szCs w:val="22"/>
                <w:lang w:eastAsia="en-US"/>
              </w:rPr>
            </w:pPr>
            <w:r w:rsidRPr="00A3190F">
              <w:rPr>
                <w:rFonts w:cs="Arial"/>
                <w:b/>
                <w:i/>
                <w:szCs w:val="22"/>
                <w:highlight w:val="yellow"/>
                <w:lang w:eastAsia="en-US"/>
              </w:rPr>
              <w:t>Compléter</w:t>
            </w:r>
          </w:p>
        </w:tc>
        <w:tc>
          <w:tcPr>
            <w:tcW w:w="1672" w:type="dxa"/>
            <w:tcBorders>
              <w:top w:val="single" w:sz="4" w:space="0" w:color="auto"/>
              <w:left w:val="single" w:sz="4" w:space="0" w:color="auto"/>
              <w:bottom w:val="single" w:sz="4" w:space="0" w:color="auto"/>
              <w:right w:val="single" w:sz="4" w:space="0" w:color="auto"/>
            </w:tcBorders>
            <w:hideMark/>
          </w:tcPr>
          <w:p w14:paraId="0E64F8A1"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2 380 €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2A3024B" w14:textId="77777777" w:rsidR="00B075B7" w:rsidRPr="00A3190F" w:rsidRDefault="00B075B7" w:rsidP="00010259">
            <w:pPr>
              <w:spacing w:line="276" w:lineRule="auto"/>
              <w:jc w:val="center"/>
              <w:rPr>
                <w:rFonts w:cs="Arial"/>
                <w:b/>
                <w:i/>
                <w:szCs w:val="22"/>
                <w:highlight w:val="yellow"/>
                <w:lang w:eastAsia="en-US"/>
              </w:rPr>
            </w:pPr>
            <w:r w:rsidRPr="00A3190F">
              <w:rPr>
                <w:rFonts w:cs="Arial"/>
                <w:b/>
                <w:i/>
                <w:szCs w:val="22"/>
                <w:highlight w:val="yellow"/>
                <w:lang w:eastAsia="en-US"/>
              </w:rPr>
              <w:t>Compléter</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29BCDDD"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r>
      <w:tr w:rsidR="00B075B7" w:rsidRPr="00A3190F" w14:paraId="31E28627" w14:textId="77777777" w:rsidTr="00010259">
        <w:tc>
          <w:tcPr>
            <w:tcW w:w="771" w:type="dxa"/>
            <w:tcBorders>
              <w:top w:val="single" w:sz="4" w:space="0" w:color="auto"/>
              <w:left w:val="single" w:sz="4" w:space="0" w:color="auto"/>
              <w:bottom w:val="single" w:sz="4" w:space="0" w:color="auto"/>
              <w:right w:val="single" w:sz="4" w:space="0" w:color="auto"/>
            </w:tcBorders>
            <w:hideMark/>
          </w:tcPr>
          <w:p w14:paraId="231F2BDA"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 xml:space="preserve">B2 </w:t>
            </w:r>
          </w:p>
        </w:tc>
        <w:tc>
          <w:tcPr>
            <w:tcW w:w="1684" w:type="dxa"/>
            <w:tcBorders>
              <w:top w:val="single" w:sz="4" w:space="0" w:color="auto"/>
              <w:left w:val="single" w:sz="4" w:space="0" w:color="auto"/>
              <w:bottom w:val="single" w:sz="4" w:space="0" w:color="auto"/>
              <w:right w:val="single" w:sz="4" w:space="0" w:color="auto"/>
            </w:tcBorders>
          </w:tcPr>
          <w:p w14:paraId="7DE2084F"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Poste de catégorie B</w:t>
            </w:r>
          </w:p>
          <w:p w14:paraId="6365AECA" w14:textId="77777777" w:rsidR="00B075B7" w:rsidRPr="00A3190F" w:rsidRDefault="00B075B7" w:rsidP="00010259">
            <w:pPr>
              <w:spacing w:line="276" w:lineRule="auto"/>
              <w:rPr>
                <w:rFonts w:eastAsia="Calibri" w:cs="Arial"/>
                <w:szCs w:val="22"/>
                <w:lang w:eastAsia="en-US"/>
              </w:rPr>
            </w:pPr>
          </w:p>
          <w:p w14:paraId="4EEF7165"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 xml:space="preserve">Rédacteur </w:t>
            </w:r>
          </w:p>
          <w:p w14:paraId="52DE0CC0" w14:textId="77777777" w:rsidR="00B075B7" w:rsidRPr="00A3190F" w:rsidRDefault="00B075B7" w:rsidP="00010259">
            <w:pPr>
              <w:spacing w:line="276" w:lineRule="auto"/>
              <w:rPr>
                <w:rFonts w:eastAsia="Calibri" w:cs="Arial"/>
                <w:szCs w:val="22"/>
                <w:lang w:eastAsia="en-US"/>
              </w:rPr>
            </w:pPr>
          </w:p>
          <w:p w14:paraId="2B9C1285"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 xml:space="preserve">Responsabilité d’un service </w:t>
            </w:r>
          </w:p>
        </w:tc>
        <w:tc>
          <w:tcPr>
            <w:tcW w:w="1672" w:type="dxa"/>
            <w:tcBorders>
              <w:top w:val="single" w:sz="4" w:space="0" w:color="auto"/>
              <w:left w:val="single" w:sz="4" w:space="0" w:color="auto"/>
              <w:bottom w:val="single" w:sz="4" w:space="0" w:color="auto"/>
              <w:right w:val="single" w:sz="4" w:space="0" w:color="auto"/>
            </w:tcBorders>
            <w:hideMark/>
          </w:tcPr>
          <w:p w14:paraId="1D7F39F5"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11 880 €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4DF23FA"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c>
          <w:tcPr>
            <w:tcW w:w="1173" w:type="dxa"/>
            <w:tcBorders>
              <w:top w:val="single" w:sz="4" w:space="0" w:color="auto"/>
              <w:left w:val="single" w:sz="4" w:space="0" w:color="auto"/>
              <w:bottom w:val="single" w:sz="4" w:space="0" w:color="auto"/>
              <w:right w:val="single" w:sz="4" w:space="0" w:color="auto"/>
            </w:tcBorders>
            <w:vAlign w:val="center"/>
            <w:hideMark/>
          </w:tcPr>
          <w:p w14:paraId="6F73FB98" w14:textId="77777777" w:rsidR="00B075B7" w:rsidRPr="00A3190F" w:rsidRDefault="00B075B7" w:rsidP="00010259">
            <w:pPr>
              <w:spacing w:line="276" w:lineRule="auto"/>
              <w:jc w:val="center"/>
              <w:rPr>
                <w:rFonts w:eastAsia="Calibri" w:cs="Arial"/>
                <w:szCs w:val="22"/>
                <w:lang w:eastAsia="en-US"/>
              </w:rPr>
            </w:pPr>
            <w:r w:rsidRPr="00A3190F">
              <w:rPr>
                <w:rFonts w:cs="Arial"/>
                <w:b/>
                <w:i/>
                <w:szCs w:val="22"/>
                <w:highlight w:val="yellow"/>
                <w:lang w:eastAsia="en-US"/>
              </w:rPr>
              <w:t>Compléter</w:t>
            </w:r>
          </w:p>
        </w:tc>
        <w:tc>
          <w:tcPr>
            <w:tcW w:w="1672" w:type="dxa"/>
            <w:tcBorders>
              <w:top w:val="single" w:sz="4" w:space="0" w:color="auto"/>
              <w:left w:val="single" w:sz="4" w:space="0" w:color="auto"/>
              <w:bottom w:val="single" w:sz="4" w:space="0" w:color="auto"/>
              <w:right w:val="single" w:sz="4" w:space="0" w:color="auto"/>
            </w:tcBorders>
            <w:hideMark/>
          </w:tcPr>
          <w:p w14:paraId="4F87E4E3"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2 185€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B64BD3F" w14:textId="77777777" w:rsidR="00B075B7" w:rsidRPr="00A3190F" w:rsidRDefault="00B075B7" w:rsidP="00010259">
            <w:pPr>
              <w:spacing w:line="276" w:lineRule="auto"/>
              <w:jc w:val="center"/>
              <w:rPr>
                <w:rFonts w:cs="Arial"/>
                <w:b/>
                <w:i/>
                <w:szCs w:val="22"/>
                <w:highlight w:val="yellow"/>
                <w:lang w:eastAsia="en-US"/>
              </w:rPr>
            </w:pPr>
            <w:r w:rsidRPr="00A3190F">
              <w:rPr>
                <w:rFonts w:cs="Arial"/>
                <w:b/>
                <w:i/>
                <w:szCs w:val="22"/>
                <w:highlight w:val="yellow"/>
                <w:lang w:eastAsia="en-US"/>
              </w:rPr>
              <w:t>Compléter</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2BCD920"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r>
      <w:tr w:rsidR="00B075B7" w:rsidRPr="00A3190F" w14:paraId="312134E1" w14:textId="77777777" w:rsidTr="00010259">
        <w:tc>
          <w:tcPr>
            <w:tcW w:w="771" w:type="dxa"/>
            <w:tcBorders>
              <w:top w:val="single" w:sz="4" w:space="0" w:color="auto"/>
              <w:left w:val="single" w:sz="4" w:space="0" w:color="auto"/>
              <w:bottom w:val="single" w:sz="4" w:space="0" w:color="auto"/>
              <w:right w:val="single" w:sz="4" w:space="0" w:color="auto"/>
            </w:tcBorders>
            <w:hideMark/>
          </w:tcPr>
          <w:p w14:paraId="5A4164BA"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C1</w:t>
            </w:r>
          </w:p>
        </w:tc>
        <w:tc>
          <w:tcPr>
            <w:tcW w:w="1684" w:type="dxa"/>
            <w:tcBorders>
              <w:top w:val="single" w:sz="4" w:space="0" w:color="auto"/>
              <w:left w:val="single" w:sz="4" w:space="0" w:color="auto"/>
              <w:bottom w:val="single" w:sz="4" w:space="0" w:color="auto"/>
              <w:right w:val="single" w:sz="4" w:space="0" w:color="auto"/>
            </w:tcBorders>
          </w:tcPr>
          <w:p w14:paraId="19C21641"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Poste de catégorie C</w:t>
            </w:r>
          </w:p>
          <w:p w14:paraId="45DC778E" w14:textId="77777777" w:rsidR="00B075B7" w:rsidRPr="00A3190F" w:rsidRDefault="00B075B7" w:rsidP="00010259">
            <w:pPr>
              <w:spacing w:line="276" w:lineRule="auto"/>
              <w:rPr>
                <w:rFonts w:eastAsia="Calibri" w:cs="Arial"/>
                <w:szCs w:val="22"/>
                <w:lang w:eastAsia="en-US"/>
              </w:rPr>
            </w:pPr>
          </w:p>
          <w:p w14:paraId="35E3686A"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 xml:space="preserve">Adjoint technique </w:t>
            </w:r>
            <w:proofErr w:type="spellStart"/>
            <w:r w:rsidRPr="00A3190F">
              <w:rPr>
                <w:rFonts w:eastAsia="Calibri" w:cs="Arial"/>
                <w:szCs w:val="22"/>
                <w:lang w:eastAsia="en-US"/>
              </w:rPr>
              <w:t>Atsem</w:t>
            </w:r>
            <w:proofErr w:type="spellEnd"/>
          </w:p>
          <w:p w14:paraId="70297E93"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Adjoint administratif</w:t>
            </w:r>
          </w:p>
          <w:p w14:paraId="02E9C5F7" w14:textId="77777777" w:rsidR="00B075B7" w:rsidRPr="00A3190F" w:rsidRDefault="00B075B7" w:rsidP="00010259">
            <w:pPr>
              <w:spacing w:line="276" w:lineRule="auto"/>
              <w:rPr>
                <w:rFonts w:eastAsia="Calibri" w:cs="Arial"/>
                <w:szCs w:val="22"/>
                <w:lang w:eastAsia="en-US"/>
              </w:rPr>
            </w:pPr>
          </w:p>
          <w:p w14:paraId="5D5C523F"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 xml:space="preserve">Responsable d’équipe, de service, expérience, </w:t>
            </w:r>
            <w:r w:rsidRPr="00A3190F">
              <w:rPr>
                <w:rFonts w:eastAsia="Calibri" w:cs="Arial"/>
                <w:szCs w:val="22"/>
                <w:lang w:eastAsia="en-US"/>
              </w:rPr>
              <w:lastRenderedPageBreak/>
              <w:t>compétence particulière, travail de coordination</w:t>
            </w:r>
          </w:p>
        </w:tc>
        <w:tc>
          <w:tcPr>
            <w:tcW w:w="1672" w:type="dxa"/>
            <w:tcBorders>
              <w:top w:val="single" w:sz="4" w:space="0" w:color="auto"/>
              <w:left w:val="single" w:sz="4" w:space="0" w:color="auto"/>
              <w:bottom w:val="single" w:sz="4" w:space="0" w:color="auto"/>
              <w:right w:val="single" w:sz="4" w:space="0" w:color="auto"/>
            </w:tcBorders>
            <w:hideMark/>
          </w:tcPr>
          <w:p w14:paraId="39CC1999" w14:textId="77777777" w:rsidR="00B075B7" w:rsidRPr="00A3190F" w:rsidRDefault="00B075B7" w:rsidP="00010259">
            <w:pPr>
              <w:spacing w:line="276" w:lineRule="auto"/>
              <w:jc w:val="center"/>
              <w:rPr>
                <w:rFonts w:eastAsia="Calibri" w:cs="Arial"/>
                <w:bCs/>
                <w:szCs w:val="22"/>
                <w:lang w:eastAsia="en-US"/>
              </w:rPr>
            </w:pPr>
            <w:r w:rsidRPr="00A3190F">
              <w:rPr>
                <w:rFonts w:eastAsia="Calibri" w:cs="Arial"/>
                <w:bCs/>
                <w:szCs w:val="22"/>
                <w:lang w:eastAsia="en-US"/>
              </w:rPr>
              <w:lastRenderedPageBreak/>
              <w:t>11 340 €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FEE3D6"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c>
          <w:tcPr>
            <w:tcW w:w="1173" w:type="dxa"/>
            <w:tcBorders>
              <w:top w:val="single" w:sz="4" w:space="0" w:color="auto"/>
              <w:left w:val="single" w:sz="4" w:space="0" w:color="auto"/>
              <w:bottom w:val="single" w:sz="4" w:space="0" w:color="auto"/>
              <w:right w:val="single" w:sz="4" w:space="0" w:color="auto"/>
            </w:tcBorders>
            <w:vAlign w:val="center"/>
            <w:hideMark/>
          </w:tcPr>
          <w:p w14:paraId="7E778019" w14:textId="77777777" w:rsidR="00B075B7" w:rsidRPr="00A3190F" w:rsidRDefault="00B075B7" w:rsidP="00010259">
            <w:pPr>
              <w:spacing w:line="276" w:lineRule="auto"/>
              <w:jc w:val="center"/>
              <w:rPr>
                <w:rFonts w:eastAsia="Calibri" w:cs="Arial"/>
                <w:szCs w:val="22"/>
                <w:lang w:eastAsia="en-US"/>
              </w:rPr>
            </w:pPr>
            <w:r w:rsidRPr="00A3190F">
              <w:rPr>
                <w:rFonts w:cs="Arial"/>
                <w:b/>
                <w:i/>
                <w:szCs w:val="22"/>
                <w:highlight w:val="yellow"/>
                <w:lang w:eastAsia="en-US"/>
              </w:rPr>
              <w:t>Compléter</w:t>
            </w:r>
          </w:p>
        </w:tc>
        <w:tc>
          <w:tcPr>
            <w:tcW w:w="1672" w:type="dxa"/>
            <w:tcBorders>
              <w:top w:val="single" w:sz="4" w:space="0" w:color="auto"/>
              <w:left w:val="single" w:sz="4" w:space="0" w:color="auto"/>
              <w:bottom w:val="single" w:sz="4" w:space="0" w:color="auto"/>
              <w:right w:val="single" w:sz="4" w:space="0" w:color="auto"/>
            </w:tcBorders>
            <w:hideMark/>
          </w:tcPr>
          <w:p w14:paraId="497A4CD9"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1 260 €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3E2EDC8" w14:textId="77777777" w:rsidR="00B075B7" w:rsidRPr="00A3190F" w:rsidRDefault="00B075B7" w:rsidP="00010259">
            <w:pPr>
              <w:spacing w:line="276" w:lineRule="auto"/>
              <w:jc w:val="center"/>
              <w:rPr>
                <w:rFonts w:cs="Arial"/>
                <w:b/>
                <w:i/>
                <w:szCs w:val="22"/>
                <w:highlight w:val="yellow"/>
                <w:lang w:eastAsia="en-US"/>
              </w:rPr>
            </w:pPr>
            <w:r w:rsidRPr="00A3190F">
              <w:rPr>
                <w:rFonts w:cs="Arial"/>
                <w:b/>
                <w:i/>
                <w:szCs w:val="22"/>
                <w:highlight w:val="yellow"/>
                <w:lang w:eastAsia="en-US"/>
              </w:rPr>
              <w:t>Compléter</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3C90066"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r>
      <w:tr w:rsidR="00B075B7" w:rsidRPr="00A3190F" w14:paraId="5EA6008C" w14:textId="77777777" w:rsidTr="00010259">
        <w:tc>
          <w:tcPr>
            <w:tcW w:w="771" w:type="dxa"/>
            <w:tcBorders>
              <w:top w:val="single" w:sz="4" w:space="0" w:color="auto"/>
              <w:left w:val="single" w:sz="4" w:space="0" w:color="auto"/>
              <w:bottom w:val="single" w:sz="4" w:space="0" w:color="auto"/>
              <w:right w:val="single" w:sz="4" w:space="0" w:color="auto"/>
            </w:tcBorders>
            <w:hideMark/>
          </w:tcPr>
          <w:p w14:paraId="61F65DD3"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C2</w:t>
            </w:r>
          </w:p>
        </w:tc>
        <w:tc>
          <w:tcPr>
            <w:tcW w:w="1684" w:type="dxa"/>
            <w:tcBorders>
              <w:top w:val="single" w:sz="4" w:space="0" w:color="auto"/>
              <w:left w:val="single" w:sz="4" w:space="0" w:color="auto"/>
              <w:bottom w:val="single" w:sz="4" w:space="0" w:color="auto"/>
              <w:right w:val="single" w:sz="4" w:space="0" w:color="auto"/>
            </w:tcBorders>
          </w:tcPr>
          <w:p w14:paraId="437A496F"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Poste de catégorie C</w:t>
            </w:r>
          </w:p>
          <w:p w14:paraId="456002BD" w14:textId="77777777" w:rsidR="00B075B7" w:rsidRPr="00A3190F" w:rsidRDefault="00B075B7" w:rsidP="00010259">
            <w:pPr>
              <w:spacing w:line="276" w:lineRule="auto"/>
              <w:rPr>
                <w:rFonts w:eastAsia="Calibri" w:cs="Arial"/>
                <w:szCs w:val="22"/>
                <w:lang w:eastAsia="en-US"/>
              </w:rPr>
            </w:pPr>
          </w:p>
          <w:p w14:paraId="0F55D738"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Adjoint technique</w:t>
            </w:r>
          </w:p>
          <w:p w14:paraId="6B2E288D" w14:textId="77777777" w:rsidR="00B075B7" w:rsidRPr="00A3190F" w:rsidRDefault="00B075B7" w:rsidP="00010259">
            <w:pPr>
              <w:spacing w:line="276" w:lineRule="auto"/>
              <w:rPr>
                <w:rFonts w:eastAsia="Calibri" w:cs="Arial"/>
                <w:szCs w:val="22"/>
                <w:lang w:eastAsia="en-US"/>
              </w:rPr>
            </w:pPr>
          </w:p>
          <w:p w14:paraId="64D6A5AD" w14:textId="77777777" w:rsidR="00B075B7" w:rsidRPr="00A3190F" w:rsidRDefault="00B075B7" w:rsidP="00010259">
            <w:pPr>
              <w:spacing w:line="276" w:lineRule="auto"/>
              <w:rPr>
                <w:rFonts w:eastAsia="Calibri" w:cs="Arial"/>
                <w:szCs w:val="22"/>
                <w:lang w:eastAsia="en-US"/>
              </w:rPr>
            </w:pPr>
            <w:r w:rsidRPr="00A3190F">
              <w:rPr>
                <w:rFonts w:eastAsia="Calibri" w:cs="Arial"/>
                <w:szCs w:val="22"/>
                <w:lang w:eastAsia="en-US"/>
              </w:rPr>
              <w:t xml:space="preserve">Agents d’exécution </w:t>
            </w:r>
          </w:p>
        </w:tc>
        <w:tc>
          <w:tcPr>
            <w:tcW w:w="1672" w:type="dxa"/>
            <w:tcBorders>
              <w:top w:val="single" w:sz="4" w:space="0" w:color="auto"/>
              <w:left w:val="single" w:sz="4" w:space="0" w:color="auto"/>
              <w:bottom w:val="single" w:sz="4" w:space="0" w:color="auto"/>
              <w:right w:val="single" w:sz="4" w:space="0" w:color="auto"/>
            </w:tcBorders>
            <w:hideMark/>
          </w:tcPr>
          <w:p w14:paraId="199ED2D0" w14:textId="77777777" w:rsidR="00B075B7" w:rsidRPr="00A3190F" w:rsidRDefault="00B075B7" w:rsidP="00010259">
            <w:pPr>
              <w:spacing w:line="276" w:lineRule="auto"/>
              <w:jc w:val="center"/>
              <w:rPr>
                <w:rFonts w:eastAsia="Calibri" w:cs="Arial"/>
                <w:bCs/>
                <w:szCs w:val="22"/>
                <w:lang w:eastAsia="en-US"/>
              </w:rPr>
            </w:pPr>
            <w:r w:rsidRPr="00A3190F">
              <w:rPr>
                <w:rFonts w:eastAsia="Calibri" w:cs="Arial"/>
                <w:bCs/>
                <w:szCs w:val="22"/>
                <w:lang w:eastAsia="en-US"/>
              </w:rPr>
              <w:t>10 800 €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D0A3DCA" w14:textId="77777777" w:rsidR="00B075B7" w:rsidRPr="00A3190F" w:rsidRDefault="00B075B7" w:rsidP="00010259">
            <w:pPr>
              <w:spacing w:line="276" w:lineRule="auto"/>
              <w:jc w:val="center"/>
              <w:rPr>
                <w:rFonts w:cs="Arial"/>
                <w:bCs/>
                <w:i/>
                <w:color w:val="00B050"/>
                <w:szCs w:val="22"/>
                <w:lang w:eastAsia="en-US"/>
              </w:rPr>
            </w:pPr>
            <w:r w:rsidRPr="00A3190F">
              <w:rPr>
                <w:rFonts w:cs="Arial"/>
                <w:bCs/>
                <w:i/>
                <w:szCs w:val="22"/>
                <w:highlight w:val="yellow"/>
                <w:lang w:eastAsia="en-US"/>
              </w:rPr>
              <w:t>Compléter</w:t>
            </w:r>
          </w:p>
        </w:tc>
        <w:tc>
          <w:tcPr>
            <w:tcW w:w="1173" w:type="dxa"/>
            <w:tcBorders>
              <w:top w:val="single" w:sz="4" w:space="0" w:color="auto"/>
              <w:left w:val="single" w:sz="4" w:space="0" w:color="auto"/>
              <w:bottom w:val="single" w:sz="4" w:space="0" w:color="auto"/>
              <w:right w:val="single" w:sz="4" w:space="0" w:color="auto"/>
            </w:tcBorders>
          </w:tcPr>
          <w:p w14:paraId="0CF1727C" w14:textId="77777777" w:rsidR="00B075B7" w:rsidRPr="00A3190F" w:rsidRDefault="00B075B7" w:rsidP="00010259">
            <w:pPr>
              <w:spacing w:line="276" w:lineRule="auto"/>
              <w:jc w:val="center"/>
              <w:rPr>
                <w:rFonts w:eastAsia="Calibri" w:cs="Arial"/>
                <w:szCs w:val="22"/>
                <w:lang w:eastAsia="en-US"/>
              </w:rPr>
            </w:pPr>
          </w:p>
        </w:tc>
        <w:tc>
          <w:tcPr>
            <w:tcW w:w="1672" w:type="dxa"/>
            <w:tcBorders>
              <w:top w:val="single" w:sz="4" w:space="0" w:color="auto"/>
              <w:left w:val="single" w:sz="4" w:space="0" w:color="auto"/>
              <w:bottom w:val="single" w:sz="4" w:space="0" w:color="auto"/>
              <w:right w:val="single" w:sz="4" w:space="0" w:color="auto"/>
            </w:tcBorders>
            <w:hideMark/>
          </w:tcPr>
          <w:p w14:paraId="25C1BB84" w14:textId="77777777" w:rsidR="00B075B7" w:rsidRPr="00A3190F" w:rsidRDefault="00B075B7" w:rsidP="00010259">
            <w:pPr>
              <w:spacing w:line="276" w:lineRule="auto"/>
              <w:jc w:val="center"/>
              <w:rPr>
                <w:rFonts w:eastAsia="Calibri" w:cs="Arial"/>
                <w:szCs w:val="22"/>
                <w:lang w:eastAsia="en-US"/>
              </w:rPr>
            </w:pPr>
            <w:r w:rsidRPr="00A3190F">
              <w:rPr>
                <w:rFonts w:eastAsia="Calibri" w:cs="Arial"/>
                <w:szCs w:val="22"/>
                <w:lang w:eastAsia="en-US"/>
              </w:rPr>
              <w:t>1 200 €</w:t>
            </w:r>
          </w:p>
        </w:tc>
        <w:tc>
          <w:tcPr>
            <w:tcW w:w="1304" w:type="dxa"/>
            <w:tcBorders>
              <w:top w:val="single" w:sz="4" w:space="0" w:color="auto"/>
              <w:left w:val="single" w:sz="4" w:space="0" w:color="auto"/>
              <w:bottom w:val="single" w:sz="4" w:space="0" w:color="auto"/>
              <w:right w:val="single" w:sz="4" w:space="0" w:color="auto"/>
            </w:tcBorders>
          </w:tcPr>
          <w:p w14:paraId="144380D6" w14:textId="77777777" w:rsidR="00B075B7" w:rsidRPr="00A3190F" w:rsidRDefault="00B075B7" w:rsidP="00010259">
            <w:pPr>
              <w:spacing w:line="276" w:lineRule="auto"/>
              <w:jc w:val="center"/>
              <w:rPr>
                <w:rFonts w:cs="Arial"/>
                <w:b/>
                <w:i/>
                <w:szCs w:val="22"/>
                <w:highlight w:val="yellow"/>
                <w:lang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7CB248F6" w14:textId="77777777" w:rsidR="00B075B7" w:rsidRPr="00A3190F" w:rsidRDefault="00B075B7" w:rsidP="00010259">
            <w:pPr>
              <w:spacing w:line="276" w:lineRule="auto"/>
              <w:jc w:val="center"/>
              <w:rPr>
                <w:rFonts w:cs="Arial"/>
                <w:b/>
                <w:i/>
                <w:color w:val="00B050"/>
                <w:szCs w:val="22"/>
                <w:lang w:eastAsia="en-US"/>
              </w:rPr>
            </w:pPr>
            <w:r w:rsidRPr="00A3190F">
              <w:rPr>
                <w:rFonts w:cs="Arial"/>
                <w:b/>
                <w:i/>
                <w:szCs w:val="22"/>
                <w:highlight w:val="yellow"/>
                <w:lang w:eastAsia="en-US"/>
              </w:rPr>
              <w:t>Compléter</w:t>
            </w:r>
          </w:p>
        </w:tc>
      </w:tr>
    </w:tbl>
    <w:p w14:paraId="216FEC61" w14:textId="77777777" w:rsidR="00B075B7" w:rsidRPr="00A3190F" w:rsidRDefault="00B075B7" w:rsidP="00B075B7">
      <w:pPr>
        <w:jc w:val="both"/>
        <w:rPr>
          <w:rFonts w:cs="Arial"/>
          <w:szCs w:val="22"/>
        </w:rPr>
      </w:pPr>
    </w:p>
    <w:p w14:paraId="5DCBFFD5" w14:textId="77777777" w:rsidR="00B075B7" w:rsidRPr="00A3190F" w:rsidRDefault="00B075B7" w:rsidP="00B075B7">
      <w:pPr>
        <w:rPr>
          <w:rFonts w:cs="Arial"/>
          <w:b/>
          <w:i/>
          <w:szCs w:val="22"/>
        </w:rPr>
      </w:pPr>
      <w:r w:rsidRPr="00A3190F">
        <w:rPr>
          <w:rFonts w:cs="Arial"/>
          <w:b/>
          <w:i/>
          <w:szCs w:val="22"/>
          <w:highlight w:val="yellow"/>
        </w:rPr>
        <w:t>EXEMPLE 2 donné à titre indicatif, devant être adapté aux besoins de la collectivité :</w:t>
      </w:r>
    </w:p>
    <w:p w14:paraId="762269DD" w14:textId="77777777" w:rsidR="00B075B7" w:rsidRPr="00A3190F" w:rsidRDefault="00B075B7" w:rsidP="00B075B7">
      <w:pPr>
        <w:jc w:val="both"/>
        <w:rPr>
          <w:rFonts w:cs="Arial"/>
          <w:szCs w:val="22"/>
        </w:rPr>
      </w:pPr>
    </w:p>
    <w:tbl>
      <w:tblPr>
        <w:tblW w:w="107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699"/>
        <w:gridCol w:w="1276"/>
        <w:gridCol w:w="1275"/>
        <w:gridCol w:w="1276"/>
        <w:gridCol w:w="1417"/>
        <w:gridCol w:w="1275"/>
        <w:gridCol w:w="1276"/>
      </w:tblGrid>
      <w:tr w:rsidR="00B075B7" w:rsidRPr="00A3190F" w14:paraId="44C9503D" w14:textId="77777777" w:rsidTr="00010259">
        <w:tc>
          <w:tcPr>
            <w:tcW w:w="1277" w:type="dxa"/>
            <w:vMerge w:val="restart"/>
            <w:tcBorders>
              <w:top w:val="single" w:sz="4" w:space="0" w:color="auto"/>
              <w:left w:val="single" w:sz="4" w:space="0" w:color="auto"/>
              <w:bottom w:val="single" w:sz="4" w:space="0" w:color="auto"/>
              <w:right w:val="single" w:sz="4" w:space="0" w:color="auto"/>
            </w:tcBorders>
          </w:tcPr>
          <w:p w14:paraId="21443B2C" w14:textId="77777777" w:rsidR="00B075B7" w:rsidRPr="00A3190F" w:rsidRDefault="00B075B7" w:rsidP="00010259">
            <w:pPr>
              <w:spacing w:line="276" w:lineRule="auto"/>
              <w:jc w:val="both"/>
              <w:rPr>
                <w:rFonts w:cs="Arial"/>
                <w:b/>
                <w:szCs w:val="22"/>
                <w:lang w:eastAsia="en-US"/>
              </w:rPr>
            </w:pPr>
            <w:r w:rsidRPr="00A3190F">
              <w:rPr>
                <w:rFonts w:cs="Arial"/>
                <w:b/>
                <w:szCs w:val="22"/>
                <w:lang w:eastAsia="en-US"/>
              </w:rPr>
              <w:t>Groupes de fonctions et cadres d’emplois</w:t>
            </w:r>
          </w:p>
          <w:p w14:paraId="519ED270" w14:textId="77777777" w:rsidR="00B075B7" w:rsidRPr="00A3190F" w:rsidRDefault="00B075B7" w:rsidP="00010259">
            <w:pPr>
              <w:spacing w:line="276" w:lineRule="auto"/>
              <w:jc w:val="both"/>
              <w:rPr>
                <w:rFonts w:cs="Arial"/>
                <w:bCs/>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54FBE927" w14:textId="77777777" w:rsidR="00B075B7" w:rsidRPr="00A3190F" w:rsidRDefault="00B075B7" w:rsidP="00010259">
            <w:pPr>
              <w:spacing w:after="40" w:line="276" w:lineRule="auto"/>
              <w:jc w:val="center"/>
              <w:rPr>
                <w:rFonts w:cs="Arial"/>
                <w:bCs/>
                <w:szCs w:val="22"/>
                <w:lang w:eastAsia="en-US"/>
              </w:rPr>
            </w:pPr>
            <w:r w:rsidRPr="00A3190F">
              <w:rPr>
                <w:rFonts w:cs="Arial"/>
                <w:bCs/>
                <w:szCs w:val="22"/>
                <w:lang w:eastAsia="en-US"/>
              </w:rPr>
              <w:t>Critères part fixe (IFSE)</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F2C6E88" w14:textId="77777777" w:rsidR="00B075B7" w:rsidRPr="00A3190F" w:rsidRDefault="00B075B7" w:rsidP="00010259">
            <w:pPr>
              <w:spacing w:line="276" w:lineRule="auto"/>
              <w:jc w:val="center"/>
              <w:rPr>
                <w:rFonts w:cs="Arial"/>
                <w:bCs/>
                <w:szCs w:val="22"/>
                <w:lang w:eastAsia="en-US"/>
              </w:rPr>
            </w:pPr>
            <w:r w:rsidRPr="00A3190F">
              <w:rPr>
                <w:rFonts w:cs="Arial"/>
                <w:bCs/>
                <w:szCs w:val="22"/>
                <w:lang w:eastAsia="en-US"/>
              </w:rPr>
              <w:t>Part fixe (IFSE) : Montants plafonds annuels réglementaires maximum</w:t>
            </w:r>
          </w:p>
        </w:tc>
        <w:tc>
          <w:tcPr>
            <w:tcW w:w="2551" w:type="dxa"/>
            <w:gridSpan w:val="2"/>
            <w:tcBorders>
              <w:top w:val="single" w:sz="4" w:space="0" w:color="auto"/>
              <w:left w:val="single" w:sz="4" w:space="0" w:color="auto"/>
              <w:bottom w:val="single" w:sz="4" w:space="0" w:color="auto"/>
              <w:right w:val="single" w:sz="4" w:space="0" w:color="auto"/>
            </w:tcBorders>
            <w:hideMark/>
          </w:tcPr>
          <w:p w14:paraId="469950CA" w14:textId="77777777" w:rsidR="00B075B7" w:rsidRPr="00A3190F" w:rsidRDefault="00B075B7" w:rsidP="00010259">
            <w:pPr>
              <w:spacing w:line="276" w:lineRule="auto"/>
              <w:jc w:val="center"/>
              <w:rPr>
                <w:rFonts w:cs="Arial"/>
                <w:bCs/>
                <w:szCs w:val="22"/>
                <w:lang w:eastAsia="en-US"/>
              </w:rPr>
            </w:pPr>
            <w:r w:rsidRPr="00A3190F">
              <w:rPr>
                <w:rFonts w:cs="Arial"/>
                <w:bCs/>
                <w:szCs w:val="22"/>
                <w:lang w:eastAsia="en-US"/>
              </w:rPr>
              <w:t xml:space="preserve">Part fixe (IFSE) : </w:t>
            </w:r>
          </w:p>
          <w:p w14:paraId="02BD391E" w14:textId="77777777" w:rsidR="00B075B7" w:rsidRPr="00A3190F" w:rsidRDefault="00B075B7" w:rsidP="00010259">
            <w:pPr>
              <w:spacing w:line="276" w:lineRule="auto"/>
              <w:jc w:val="center"/>
              <w:rPr>
                <w:rFonts w:cs="Arial"/>
                <w:bCs/>
                <w:szCs w:val="22"/>
                <w:lang w:eastAsia="en-US"/>
              </w:rPr>
            </w:pPr>
            <w:r w:rsidRPr="00A3190F">
              <w:rPr>
                <w:rFonts w:cs="Arial"/>
                <w:bCs/>
                <w:szCs w:val="22"/>
                <w:lang w:eastAsia="en-US"/>
              </w:rPr>
              <w:t xml:space="preserve">Montants annuels </w:t>
            </w:r>
            <w:r w:rsidRPr="00A3190F">
              <w:rPr>
                <w:rFonts w:cs="Arial"/>
                <w:bCs/>
                <w:szCs w:val="22"/>
                <w:u w:val="single"/>
                <w:lang w:eastAsia="en-US"/>
              </w:rPr>
              <w:t>retenus par la collectivité</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044DE4F" w14:textId="77777777" w:rsidR="00B075B7" w:rsidRPr="00A3190F" w:rsidRDefault="00B075B7" w:rsidP="00010259">
            <w:pPr>
              <w:spacing w:line="276" w:lineRule="auto"/>
              <w:jc w:val="center"/>
              <w:rPr>
                <w:rFonts w:cs="Arial"/>
                <w:bCs/>
                <w:szCs w:val="22"/>
                <w:lang w:eastAsia="en-US"/>
              </w:rPr>
            </w:pPr>
            <w:r w:rsidRPr="00A3190F">
              <w:rPr>
                <w:rFonts w:cs="Arial"/>
                <w:bCs/>
                <w:szCs w:val="22"/>
                <w:lang w:eastAsia="en-US"/>
              </w:rPr>
              <w:t>Part variable (CIA) : Montants plafonds annuels réglementaires maximum</w:t>
            </w:r>
          </w:p>
        </w:tc>
        <w:tc>
          <w:tcPr>
            <w:tcW w:w="2551" w:type="dxa"/>
            <w:gridSpan w:val="2"/>
            <w:tcBorders>
              <w:top w:val="single" w:sz="4" w:space="0" w:color="auto"/>
              <w:left w:val="single" w:sz="4" w:space="0" w:color="auto"/>
              <w:bottom w:val="single" w:sz="4" w:space="0" w:color="auto"/>
              <w:right w:val="single" w:sz="4" w:space="0" w:color="auto"/>
            </w:tcBorders>
          </w:tcPr>
          <w:p w14:paraId="5D114F32" w14:textId="77777777" w:rsidR="00B075B7" w:rsidRPr="00A3190F" w:rsidRDefault="00B075B7" w:rsidP="00010259">
            <w:pPr>
              <w:spacing w:line="276" w:lineRule="auto"/>
              <w:jc w:val="center"/>
              <w:rPr>
                <w:rFonts w:cs="Arial"/>
                <w:bCs/>
                <w:szCs w:val="22"/>
                <w:u w:val="single"/>
                <w:lang w:eastAsia="en-US"/>
              </w:rPr>
            </w:pPr>
            <w:r w:rsidRPr="00A3190F">
              <w:rPr>
                <w:rFonts w:cs="Arial"/>
                <w:bCs/>
                <w:szCs w:val="22"/>
                <w:lang w:eastAsia="en-US"/>
              </w:rPr>
              <w:t xml:space="preserve">Part variable (CIA) : Montants annuels maximums </w:t>
            </w:r>
            <w:r w:rsidRPr="00A3190F">
              <w:rPr>
                <w:rFonts w:cs="Arial"/>
                <w:bCs/>
                <w:szCs w:val="22"/>
                <w:u w:val="single"/>
                <w:lang w:eastAsia="en-US"/>
              </w:rPr>
              <w:t>retenus par la collectivité</w:t>
            </w:r>
          </w:p>
          <w:p w14:paraId="7C18217A" w14:textId="77777777" w:rsidR="00B075B7" w:rsidRPr="00A3190F" w:rsidRDefault="00B075B7" w:rsidP="00010259">
            <w:pPr>
              <w:spacing w:line="276" w:lineRule="auto"/>
              <w:jc w:val="center"/>
              <w:rPr>
                <w:rFonts w:cs="Arial"/>
                <w:bCs/>
                <w:szCs w:val="22"/>
                <w:lang w:eastAsia="en-US"/>
              </w:rPr>
            </w:pPr>
          </w:p>
        </w:tc>
      </w:tr>
      <w:tr w:rsidR="00B075B7" w:rsidRPr="00A3190F" w14:paraId="1850C152" w14:textId="77777777" w:rsidTr="00010259">
        <w:tc>
          <w:tcPr>
            <w:tcW w:w="1277" w:type="dxa"/>
            <w:vMerge/>
            <w:tcBorders>
              <w:top w:val="single" w:sz="4" w:space="0" w:color="auto"/>
              <w:left w:val="single" w:sz="4" w:space="0" w:color="auto"/>
              <w:bottom w:val="single" w:sz="4" w:space="0" w:color="auto"/>
              <w:right w:val="single" w:sz="4" w:space="0" w:color="auto"/>
            </w:tcBorders>
            <w:vAlign w:val="center"/>
            <w:hideMark/>
          </w:tcPr>
          <w:p w14:paraId="7A180501" w14:textId="77777777" w:rsidR="00B075B7" w:rsidRPr="00A3190F" w:rsidRDefault="00B075B7" w:rsidP="00010259">
            <w:pPr>
              <w:spacing w:line="276" w:lineRule="auto"/>
              <w:rPr>
                <w:rFonts w:cs="Arial"/>
                <w:bCs/>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84F732" w14:textId="77777777" w:rsidR="00B075B7" w:rsidRPr="00A3190F" w:rsidRDefault="00B075B7" w:rsidP="00010259">
            <w:pPr>
              <w:spacing w:line="276" w:lineRule="auto"/>
              <w:rPr>
                <w:rFonts w:cs="Arial"/>
                <w:bCs/>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0BE825" w14:textId="77777777" w:rsidR="00B075B7" w:rsidRPr="00A3190F" w:rsidRDefault="00B075B7" w:rsidP="00010259">
            <w:pPr>
              <w:spacing w:line="276" w:lineRule="auto"/>
              <w:rPr>
                <w:rFonts w:cs="Arial"/>
                <w:bCs/>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1D5A903" w14:textId="77777777" w:rsidR="00B075B7" w:rsidRPr="00A3190F" w:rsidRDefault="00B075B7" w:rsidP="00010259">
            <w:pPr>
              <w:spacing w:line="276" w:lineRule="auto"/>
              <w:jc w:val="center"/>
              <w:rPr>
                <w:rFonts w:cs="Arial"/>
                <w:b/>
                <w:sz w:val="20"/>
                <w:szCs w:val="20"/>
                <w:lang w:eastAsia="en-US"/>
              </w:rPr>
            </w:pPr>
            <w:r w:rsidRPr="00A3190F">
              <w:rPr>
                <w:rFonts w:eastAsia="Calibri" w:cs="Arial"/>
                <w:szCs w:val="22"/>
                <w:lang w:eastAsia="en-US"/>
              </w:rPr>
              <w:t>Montants planchers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C19C32" w14:textId="77777777" w:rsidR="00B075B7" w:rsidRPr="00A3190F" w:rsidRDefault="00B075B7" w:rsidP="00010259">
            <w:pPr>
              <w:spacing w:line="276" w:lineRule="auto"/>
              <w:jc w:val="center"/>
              <w:rPr>
                <w:rFonts w:cs="Arial"/>
                <w:b/>
                <w:sz w:val="20"/>
                <w:szCs w:val="20"/>
                <w:lang w:eastAsia="en-US"/>
              </w:rPr>
            </w:pPr>
            <w:r w:rsidRPr="00A3190F">
              <w:rPr>
                <w:rFonts w:eastAsia="Calibri" w:cs="Arial"/>
                <w:szCs w:val="22"/>
                <w:lang w:eastAsia="en-US"/>
              </w:rPr>
              <w:t>Montants plafonds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922EA4" w14:textId="77777777" w:rsidR="00B075B7" w:rsidRPr="00A3190F" w:rsidRDefault="00B075B7" w:rsidP="00010259">
            <w:pPr>
              <w:spacing w:line="276" w:lineRule="auto"/>
              <w:rPr>
                <w:rFonts w:cs="Arial"/>
                <w:bCs/>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5141987" w14:textId="77777777" w:rsidR="00B075B7" w:rsidRPr="00A3190F" w:rsidRDefault="00B075B7" w:rsidP="00010259">
            <w:pPr>
              <w:spacing w:line="276" w:lineRule="auto"/>
              <w:jc w:val="center"/>
              <w:rPr>
                <w:rFonts w:cs="Arial"/>
                <w:b/>
                <w:sz w:val="20"/>
                <w:szCs w:val="20"/>
                <w:lang w:eastAsia="en-US"/>
              </w:rPr>
            </w:pPr>
            <w:r w:rsidRPr="00A3190F">
              <w:rPr>
                <w:rFonts w:eastAsia="Calibri" w:cs="Arial"/>
                <w:szCs w:val="22"/>
                <w:lang w:eastAsia="en-US"/>
              </w:rPr>
              <w:t>Montants planchers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4229E" w14:textId="77777777" w:rsidR="00B075B7" w:rsidRPr="00A3190F" w:rsidRDefault="00B075B7" w:rsidP="00010259">
            <w:pPr>
              <w:spacing w:line="276" w:lineRule="auto"/>
              <w:jc w:val="center"/>
              <w:rPr>
                <w:rFonts w:cs="Arial"/>
                <w:b/>
                <w:sz w:val="20"/>
                <w:szCs w:val="20"/>
                <w:lang w:eastAsia="en-US"/>
              </w:rPr>
            </w:pPr>
            <w:r w:rsidRPr="00A3190F">
              <w:rPr>
                <w:rFonts w:eastAsia="Calibri" w:cs="Arial"/>
                <w:szCs w:val="22"/>
                <w:lang w:eastAsia="en-US"/>
              </w:rPr>
              <w:t>Montants plafonds</w:t>
            </w:r>
          </w:p>
        </w:tc>
      </w:tr>
      <w:tr w:rsidR="00B075B7" w:rsidRPr="00A3190F" w14:paraId="4DF29B1E" w14:textId="77777777" w:rsidTr="00010259">
        <w:tc>
          <w:tcPr>
            <w:tcW w:w="1277" w:type="dxa"/>
            <w:tcBorders>
              <w:top w:val="single" w:sz="4" w:space="0" w:color="auto"/>
              <w:left w:val="single" w:sz="4" w:space="0" w:color="auto"/>
              <w:bottom w:val="single" w:sz="4" w:space="0" w:color="auto"/>
              <w:right w:val="single" w:sz="4" w:space="0" w:color="auto"/>
            </w:tcBorders>
          </w:tcPr>
          <w:p w14:paraId="6D1529EC"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 xml:space="preserve">Catégorie A </w:t>
            </w:r>
          </w:p>
          <w:p w14:paraId="5FF63958"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G1</w:t>
            </w:r>
          </w:p>
          <w:p w14:paraId="0402D37E" w14:textId="77777777" w:rsidR="00B075B7" w:rsidRPr="00A3190F" w:rsidRDefault="00B075B7" w:rsidP="00010259">
            <w:pPr>
              <w:spacing w:line="276" w:lineRule="auto"/>
              <w:jc w:val="center"/>
              <w:rPr>
                <w:rFonts w:cs="Arial"/>
                <w:szCs w:val="22"/>
                <w:lang w:eastAsia="en-US"/>
              </w:rPr>
            </w:pPr>
          </w:p>
          <w:p w14:paraId="7B78392C"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Attaché</w:t>
            </w:r>
          </w:p>
        </w:tc>
        <w:tc>
          <w:tcPr>
            <w:tcW w:w="1701" w:type="dxa"/>
            <w:tcBorders>
              <w:top w:val="single" w:sz="4" w:space="0" w:color="auto"/>
              <w:left w:val="single" w:sz="4" w:space="0" w:color="auto"/>
              <w:bottom w:val="single" w:sz="4" w:space="0" w:color="auto"/>
              <w:right w:val="single" w:sz="4" w:space="0" w:color="auto"/>
            </w:tcBorders>
            <w:hideMark/>
          </w:tcPr>
          <w:p w14:paraId="4E365A39"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Coordination des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025AF"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36 210 €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227068" w14:textId="77777777" w:rsidR="00B075B7" w:rsidRPr="00A3190F" w:rsidRDefault="00B075B7" w:rsidP="00010259">
            <w:pPr>
              <w:spacing w:line="276" w:lineRule="auto"/>
              <w:jc w:val="center"/>
              <w:rPr>
                <w:rFonts w:cs="Arial"/>
                <w:b/>
                <w:i/>
                <w:sz w:val="20"/>
                <w:szCs w:val="20"/>
                <w:highlight w:val="yellow"/>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F2AB5"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56554C"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6 390 €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12FB89"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486FB7" w14:textId="77777777" w:rsidR="00B075B7" w:rsidRPr="00A3190F" w:rsidRDefault="00B075B7" w:rsidP="00010259">
            <w:pPr>
              <w:spacing w:line="276" w:lineRule="auto"/>
              <w:jc w:val="center"/>
              <w:rPr>
                <w:rFonts w:cs="Arial"/>
                <w:sz w:val="20"/>
                <w:szCs w:val="20"/>
                <w:lang w:eastAsia="en-US"/>
              </w:rPr>
            </w:pPr>
            <w:r w:rsidRPr="00A3190F">
              <w:rPr>
                <w:rFonts w:cs="Arial"/>
                <w:b/>
                <w:i/>
                <w:sz w:val="20"/>
                <w:szCs w:val="20"/>
                <w:highlight w:val="yellow"/>
                <w:lang w:eastAsia="en-US"/>
              </w:rPr>
              <w:t>Compléter</w:t>
            </w:r>
          </w:p>
        </w:tc>
      </w:tr>
      <w:tr w:rsidR="00B075B7" w:rsidRPr="00A3190F" w14:paraId="3F89F1EB" w14:textId="77777777" w:rsidTr="00010259">
        <w:tc>
          <w:tcPr>
            <w:tcW w:w="1277" w:type="dxa"/>
            <w:tcBorders>
              <w:top w:val="single" w:sz="4" w:space="0" w:color="auto"/>
              <w:left w:val="single" w:sz="4" w:space="0" w:color="auto"/>
              <w:bottom w:val="single" w:sz="4" w:space="0" w:color="auto"/>
              <w:right w:val="single" w:sz="4" w:space="0" w:color="auto"/>
            </w:tcBorders>
          </w:tcPr>
          <w:p w14:paraId="6F35AD5B"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Catégorie B</w:t>
            </w:r>
          </w:p>
          <w:p w14:paraId="794865A1"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G1</w:t>
            </w:r>
          </w:p>
          <w:p w14:paraId="696FCF24" w14:textId="77777777" w:rsidR="00B075B7" w:rsidRPr="00A3190F" w:rsidRDefault="00B075B7" w:rsidP="00010259">
            <w:pPr>
              <w:spacing w:line="276" w:lineRule="auto"/>
              <w:jc w:val="center"/>
              <w:rPr>
                <w:rFonts w:cs="Arial"/>
                <w:szCs w:val="22"/>
                <w:lang w:eastAsia="en-US"/>
              </w:rPr>
            </w:pPr>
          </w:p>
          <w:p w14:paraId="016A8973"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 xml:space="preserve">Rédacteur </w:t>
            </w:r>
          </w:p>
          <w:p w14:paraId="6F27AD6F" w14:textId="77777777" w:rsidR="00B075B7" w:rsidRPr="00A3190F" w:rsidRDefault="00B075B7" w:rsidP="00010259">
            <w:pPr>
              <w:spacing w:line="276" w:lineRule="auto"/>
              <w:jc w:val="center"/>
              <w:rPr>
                <w:rFonts w:cs="Arial"/>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0355F0E"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Responsabilité de service, coordination des services, encadrement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8C7878"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17 480 €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F6925F" w14:textId="77777777" w:rsidR="00B075B7" w:rsidRPr="00A3190F" w:rsidRDefault="00B075B7" w:rsidP="00010259">
            <w:pPr>
              <w:spacing w:line="276" w:lineRule="auto"/>
              <w:jc w:val="center"/>
              <w:rPr>
                <w:rFonts w:cs="Arial"/>
                <w:b/>
                <w:i/>
                <w:sz w:val="20"/>
                <w:szCs w:val="20"/>
                <w:highlight w:val="yellow"/>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5A2D3E"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65833"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2 380 €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F26A99"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F07A20" w14:textId="77777777" w:rsidR="00B075B7" w:rsidRPr="00A3190F" w:rsidRDefault="00B075B7" w:rsidP="00010259">
            <w:pPr>
              <w:spacing w:line="276" w:lineRule="auto"/>
              <w:jc w:val="center"/>
              <w:rPr>
                <w:rFonts w:cs="Arial"/>
                <w:sz w:val="20"/>
                <w:szCs w:val="20"/>
                <w:lang w:eastAsia="en-US"/>
              </w:rPr>
            </w:pPr>
            <w:r w:rsidRPr="00A3190F">
              <w:rPr>
                <w:rFonts w:cs="Arial"/>
                <w:b/>
                <w:i/>
                <w:sz w:val="20"/>
                <w:szCs w:val="20"/>
                <w:highlight w:val="yellow"/>
                <w:lang w:eastAsia="en-US"/>
              </w:rPr>
              <w:t>Compléter</w:t>
            </w:r>
          </w:p>
        </w:tc>
      </w:tr>
      <w:tr w:rsidR="00B075B7" w:rsidRPr="00A3190F" w14:paraId="3C514AC7" w14:textId="77777777" w:rsidTr="00010259">
        <w:tc>
          <w:tcPr>
            <w:tcW w:w="1277" w:type="dxa"/>
            <w:vMerge w:val="restart"/>
            <w:tcBorders>
              <w:top w:val="single" w:sz="4" w:space="0" w:color="auto"/>
              <w:left w:val="single" w:sz="4" w:space="0" w:color="auto"/>
              <w:bottom w:val="single" w:sz="4" w:space="0" w:color="auto"/>
              <w:right w:val="single" w:sz="4" w:space="0" w:color="auto"/>
            </w:tcBorders>
          </w:tcPr>
          <w:p w14:paraId="2A12AB79"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Catégorie C</w:t>
            </w:r>
          </w:p>
          <w:p w14:paraId="29491866"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G1</w:t>
            </w:r>
          </w:p>
          <w:p w14:paraId="7439D9EB" w14:textId="77777777" w:rsidR="00B075B7" w:rsidRPr="00A3190F" w:rsidRDefault="00B075B7" w:rsidP="00010259">
            <w:pPr>
              <w:spacing w:line="276" w:lineRule="auto"/>
              <w:jc w:val="center"/>
              <w:rPr>
                <w:rFonts w:cs="Arial"/>
                <w:szCs w:val="22"/>
                <w:lang w:eastAsia="en-US"/>
              </w:rPr>
            </w:pPr>
          </w:p>
          <w:p w14:paraId="6A69F68B"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Adjoint technique</w:t>
            </w:r>
          </w:p>
          <w:p w14:paraId="7E241B2B"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ATSEM</w:t>
            </w:r>
          </w:p>
        </w:tc>
        <w:tc>
          <w:tcPr>
            <w:tcW w:w="1701" w:type="dxa"/>
            <w:tcBorders>
              <w:top w:val="single" w:sz="4" w:space="0" w:color="auto"/>
              <w:left w:val="single" w:sz="4" w:space="0" w:color="auto"/>
              <w:bottom w:val="single" w:sz="4" w:space="0" w:color="auto"/>
              <w:right w:val="single" w:sz="4" w:space="0" w:color="auto"/>
            </w:tcBorders>
            <w:hideMark/>
          </w:tcPr>
          <w:p w14:paraId="4A33374F"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Responsable de service, encadrement d’équipe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DDA0C0"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11 340 €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6CB16E" w14:textId="77777777" w:rsidR="00B075B7" w:rsidRPr="00A3190F" w:rsidRDefault="00B075B7" w:rsidP="00010259">
            <w:pPr>
              <w:spacing w:line="276" w:lineRule="auto"/>
              <w:jc w:val="center"/>
              <w:rPr>
                <w:rFonts w:cs="Arial"/>
                <w:b/>
                <w:i/>
                <w:sz w:val="20"/>
                <w:szCs w:val="20"/>
                <w:highlight w:val="yellow"/>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DF8DF9"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64819"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1 260 €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18BB3A"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D3903D" w14:textId="77777777" w:rsidR="00B075B7" w:rsidRPr="00A3190F" w:rsidRDefault="00B075B7" w:rsidP="00010259">
            <w:pPr>
              <w:spacing w:line="276" w:lineRule="auto"/>
              <w:jc w:val="center"/>
              <w:rPr>
                <w:rFonts w:cs="Arial"/>
                <w:sz w:val="20"/>
                <w:szCs w:val="20"/>
                <w:lang w:eastAsia="en-US"/>
              </w:rPr>
            </w:pPr>
            <w:r w:rsidRPr="00A3190F">
              <w:rPr>
                <w:rFonts w:cs="Arial"/>
                <w:b/>
                <w:i/>
                <w:sz w:val="20"/>
                <w:szCs w:val="20"/>
                <w:highlight w:val="yellow"/>
                <w:lang w:eastAsia="en-US"/>
              </w:rPr>
              <w:t>Compléter</w:t>
            </w:r>
          </w:p>
        </w:tc>
      </w:tr>
      <w:tr w:rsidR="00B075B7" w:rsidRPr="00A3190F" w14:paraId="3C38F21B" w14:textId="77777777" w:rsidTr="00010259">
        <w:tc>
          <w:tcPr>
            <w:tcW w:w="1277" w:type="dxa"/>
            <w:vMerge/>
            <w:tcBorders>
              <w:top w:val="single" w:sz="4" w:space="0" w:color="auto"/>
              <w:left w:val="single" w:sz="4" w:space="0" w:color="auto"/>
              <w:bottom w:val="single" w:sz="4" w:space="0" w:color="auto"/>
              <w:right w:val="single" w:sz="4" w:space="0" w:color="auto"/>
            </w:tcBorders>
            <w:vAlign w:val="center"/>
            <w:hideMark/>
          </w:tcPr>
          <w:p w14:paraId="15AE8D3C" w14:textId="77777777" w:rsidR="00B075B7" w:rsidRPr="00A3190F" w:rsidRDefault="00B075B7" w:rsidP="00010259">
            <w:pPr>
              <w:spacing w:line="276" w:lineRule="auto"/>
              <w:rPr>
                <w:rFonts w:cs="Arial"/>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46D0193"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Coordination, gestion de dossiers complexes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E248E2"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11 340 €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12CFD5" w14:textId="77777777" w:rsidR="00B075B7" w:rsidRPr="00A3190F" w:rsidRDefault="00B075B7" w:rsidP="00010259">
            <w:pPr>
              <w:spacing w:line="276" w:lineRule="auto"/>
              <w:jc w:val="center"/>
              <w:rPr>
                <w:rFonts w:cs="Arial"/>
                <w:b/>
                <w:i/>
                <w:sz w:val="20"/>
                <w:szCs w:val="20"/>
                <w:highlight w:val="yellow"/>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BBEE07"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A75F9A"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1 260 €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0B87B6"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23930" w14:textId="77777777" w:rsidR="00B075B7" w:rsidRPr="00A3190F" w:rsidRDefault="00B075B7" w:rsidP="00010259">
            <w:pPr>
              <w:spacing w:line="276" w:lineRule="auto"/>
              <w:jc w:val="center"/>
              <w:rPr>
                <w:rFonts w:cs="Arial"/>
                <w:sz w:val="20"/>
                <w:szCs w:val="20"/>
                <w:lang w:eastAsia="en-US"/>
              </w:rPr>
            </w:pPr>
            <w:r w:rsidRPr="00A3190F">
              <w:rPr>
                <w:rFonts w:cs="Arial"/>
                <w:b/>
                <w:i/>
                <w:sz w:val="20"/>
                <w:szCs w:val="20"/>
                <w:highlight w:val="yellow"/>
                <w:lang w:eastAsia="en-US"/>
              </w:rPr>
              <w:t>Compléter</w:t>
            </w:r>
          </w:p>
        </w:tc>
      </w:tr>
      <w:tr w:rsidR="00B075B7" w:rsidRPr="00A3190F" w14:paraId="2B6B07CD" w14:textId="77777777" w:rsidTr="00010259">
        <w:tc>
          <w:tcPr>
            <w:tcW w:w="1277" w:type="dxa"/>
            <w:vMerge/>
            <w:tcBorders>
              <w:top w:val="single" w:sz="4" w:space="0" w:color="auto"/>
              <w:left w:val="single" w:sz="4" w:space="0" w:color="auto"/>
              <w:bottom w:val="single" w:sz="4" w:space="0" w:color="auto"/>
              <w:right w:val="single" w:sz="4" w:space="0" w:color="auto"/>
            </w:tcBorders>
            <w:vAlign w:val="center"/>
            <w:hideMark/>
          </w:tcPr>
          <w:p w14:paraId="6FACBF76" w14:textId="77777777" w:rsidR="00B075B7" w:rsidRPr="00A3190F" w:rsidRDefault="00B075B7" w:rsidP="00010259">
            <w:pPr>
              <w:spacing w:line="276" w:lineRule="auto"/>
              <w:rPr>
                <w:rFonts w:cs="Arial"/>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3A00E9"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 xml:space="preserve">Sujétions particulières : </w:t>
            </w:r>
            <w:r w:rsidRPr="00A3190F">
              <w:rPr>
                <w:rFonts w:cs="Arial"/>
                <w:szCs w:val="22"/>
                <w:highlight w:val="yellow"/>
                <w:lang w:eastAsia="en-US"/>
              </w:rPr>
              <w:t>XXXXX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41CBFA"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11 340 €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3B0DCA" w14:textId="77777777" w:rsidR="00B075B7" w:rsidRPr="00A3190F" w:rsidRDefault="00B075B7" w:rsidP="00010259">
            <w:pPr>
              <w:spacing w:line="276" w:lineRule="auto"/>
              <w:jc w:val="center"/>
              <w:rPr>
                <w:rFonts w:cs="Arial"/>
                <w:b/>
                <w:i/>
                <w:sz w:val="20"/>
                <w:szCs w:val="20"/>
                <w:highlight w:val="yellow"/>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CBB4C"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 xml:space="preserve"> Compléter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A464C"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1 260 €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67BCD5"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C40E71" w14:textId="77777777" w:rsidR="00B075B7" w:rsidRPr="00A3190F" w:rsidRDefault="00B075B7" w:rsidP="00010259">
            <w:pPr>
              <w:spacing w:line="276" w:lineRule="auto"/>
              <w:jc w:val="center"/>
              <w:rPr>
                <w:rFonts w:cs="Arial"/>
                <w:sz w:val="20"/>
                <w:szCs w:val="20"/>
                <w:lang w:eastAsia="en-US"/>
              </w:rPr>
            </w:pPr>
            <w:r w:rsidRPr="00A3190F">
              <w:rPr>
                <w:rFonts w:cs="Arial"/>
                <w:b/>
                <w:i/>
                <w:sz w:val="20"/>
                <w:szCs w:val="20"/>
                <w:highlight w:val="yellow"/>
                <w:lang w:eastAsia="en-US"/>
              </w:rPr>
              <w:t>Compléter</w:t>
            </w:r>
          </w:p>
        </w:tc>
      </w:tr>
      <w:tr w:rsidR="00B075B7" w:rsidRPr="00A3190F" w14:paraId="5CD42859" w14:textId="77777777" w:rsidTr="00010259">
        <w:tc>
          <w:tcPr>
            <w:tcW w:w="1277" w:type="dxa"/>
            <w:tcBorders>
              <w:top w:val="single" w:sz="4" w:space="0" w:color="auto"/>
              <w:left w:val="single" w:sz="4" w:space="0" w:color="auto"/>
              <w:bottom w:val="single" w:sz="4" w:space="0" w:color="auto"/>
              <w:right w:val="single" w:sz="4" w:space="0" w:color="auto"/>
            </w:tcBorders>
          </w:tcPr>
          <w:p w14:paraId="44171BF7"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Catégorie C</w:t>
            </w:r>
          </w:p>
          <w:p w14:paraId="45989A10"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lastRenderedPageBreak/>
              <w:t>G2</w:t>
            </w:r>
          </w:p>
          <w:p w14:paraId="0A5B2EA8" w14:textId="77777777" w:rsidR="00B075B7" w:rsidRPr="00A3190F" w:rsidRDefault="00B075B7" w:rsidP="00010259">
            <w:pPr>
              <w:spacing w:line="276" w:lineRule="auto"/>
              <w:jc w:val="center"/>
              <w:rPr>
                <w:rFonts w:cs="Arial"/>
                <w:szCs w:val="22"/>
                <w:lang w:eastAsia="en-US"/>
              </w:rPr>
            </w:pPr>
          </w:p>
          <w:p w14:paraId="6719AA83"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t>Adjoint technique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AF485E" w14:textId="77777777" w:rsidR="00B075B7" w:rsidRPr="00A3190F" w:rsidRDefault="00B075B7" w:rsidP="00010259">
            <w:pPr>
              <w:spacing w:line="276" w:lineRule="auto"/>
              <w:jc w:val="center"/>
              <w:rPr>
                <w:rFonts w:cs="Arial"/>
                <w:szCs w:val="22"/>
                <w:lang w:eastAsia="en-US"/>
              </w:rPr>
            </w:pPr>
            <w:r w:rsidRPr="00A3190F">
              <w:rPr>
                <w:rFonts w:cs="Arial"/>
                <w:szCs w:val="22"/>
                <w:lang w:eastAsia="en-US"/>
              </w:rPr>
              <w:lastRenderedPageBreak/>
              <w:t>Agent d’application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7823C1"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10 800 €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006247" w14:textId="77777777" w:rsidR="00B075B7" w:rsidRPr="00A3190F" w:rsidRDefault="00B075B7" w:rsidP="00010259">
            <w:pPr>
              <w:spacing w:line="276" w:lineRule="auto"/>
              <w:jc w:val="center"/>
              <w:rPr>
                <w:rFonts w:cs="Arial"/>
                <w:b/>
                <w:i/>
                <w:sz w:val="20"/>
                <w:szCs w:val="20"/>
                <w:highlight w:val="yellow"/>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C71C5A"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978B86" w14:textId="77777777" w:rsidR="00B075B7" w:rsidRPr="00A3190F" w:rsidRDefault="00B075B7" w:rsidP="00010259">
            <w:pPr>
              <w:spacing w:line="276" w:lineRule="auto"/>
              <w:jc w:val="center"/>
              <w:rPr>
                <w:rFonts w:cs="Arial"/>
                <w:b/>
                <w:i/>
                <w:szCs w:val="22"/>
                <w:highlight w:val="yellow"/>
                <w:lang w:eastAsia="en-US"/>
              </w:rPr>
            </w:pPr>
            <w:r w:rsidRPr="00A3190F">
              <w:rPr>
                <w:rFonts w:cs="Arial"/>
                <w:szCs w:val="22"/>
                <w:lang w:eastAsia="en-US"/>
              </w:rPr>
              <w:t>1 200 €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D083EC" w14:textId="77777777" w:rsidR="00B075B7" w:rsidRPr="00A3190F" w:rsidRDefault="00B075B7" w:rsidP="00010259">
            <w:pPr>
              <w:spacing w:line="276" w:lineRule="auto"/>
              <w:jc w:val="center"/>
              <w:rPr>
                <w:rFonts w:cs="Arial"/>
                <w:b/>
                <w:i/>
                <w:color w:val="00B050"/>
                <w:sz w:val="20"/>
                <w:szCs w:val="20"/>
                <w:lang w:eastAsia="en-US"/>
              </w:rPr>
            </w:pPr>
            <w:r w:rsidRPr="00A3190F">
              <w:rPr>
                <w:rFonts w:cs="Arial"/>
                <w:b/>
                <w:i/>
                <w:sz w:val="20"/>
                <w:szCs w:val="20"/>
                <w:highlight w:val="yellow"/>
                <w:lang w:eastAsia="en-US"/>
              </w:rPr>
              <w:t>Compléter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61D278" w14:textId="77777777" w:rsidR="00B075B7" w:rsidRPr="00A3190F" w:rsidRDefault="00B075B7" w:rsidP="00010259">
            <w:pPr>
              <w:spacing w:line="276" w:lineRule="auto"/>
              <w:jc w:val="center"/>
              <w:rPr>
                <w:rFonts w:cs="Arial"/>
                <w:sz w:val="20"/>
                <w:szCs w:val="20"/>
                <w:lang w:eastAsia="en-US"/>
              </w:rPr>
            </w:pPr>
            <w:r w:rsidRPr="00A3190F">
              <w:rPr>
                <w:rFonts w:cs="Arial"/>
                <w:b/>
                <w:i/>
                <w:sz w:val="20"/>
                <w:szCs w:val="20"/>
                <w:highlight w:val="yellow"/>
                <w:lang w:eastAsia="en-US"/>
              </w:rPr>
              <w:t>Compléter</w:t>
            </w:r>
          </w:p>
        </w:tc>
      </w:tr>
    </w:tbl>
    <w:p w14:paraId="521CC7C1" w14:textId="77777777" w:rsidR="00B075B7" w:rsidRPr="00A3190F" w:rsidRDefault="00B075B7" w:rsidP="00B075B7">
      <w:pPr>
        <w:spacing w:after="120"/>
        <w:jc w:val="both"/>
        <w:rPr>
          <w:rFonts w:cs="Arial"/>
          <w:b/>
          <w:bCs/>
          <w:szCs w:val="22"/>
          <w:u w:val="single"/>
        </w:rPr>
      </w:pPr>
    </w:p>
    <w:p w14:paraId="352826C2" w14:textId="77777777" w:rsidR="00B075B7" w:rsidRPr="00A3190F" w:rsidRDefault="00B075B7" w:rsidP="00B075B7">
      <w:pPr>
        <w:spacing w:after="120"/>
        <w:jc w:val="both"/>
        <w:rPr>
          <w:rFonts w:cs="Arial"/>
          <w:b/>
          <w:bCs/>
          <w:szCs w:val="22"/>
          <w:u w:val="single"/>
        </w:rPr>
      </w:pPr>
    </w:p>
    <w:p w14:paraId="6063ACAD" w14:textId="77777777" w:rsidR="00B075B7" w:rsidRPr="00A3190F" w:rsidRDefault="00B075B7" w:rsidP="00B075B7">
      <w:pPr>
        <w:spacing w:after="120"/>
        <w:jc w:val="both"/>
        <w:rPr>
          <w:rFonts w:cs="Arial"/>
          <w:b/>
          <w:bCs/>
          <w:szCs w:val="22"/>
          <w:u w:val="single"/>
        </w:rPr>
      </w:pPr>
      <w:r w:rsidRPr="00A3190F">
        <w:rPr>
          <w:rFonts w:cs="Arial"/>
          <w:b/>
          <w:bCs/>
          <w:szCs w:val="22"/>
          <w:u w:val="single"/>
        </w:rPr>
        <w:t xml:space="preserve">Article 5 : </w:t>
      </w:r>
    </w:p>
    <w:p w14:paraId="6AE45EA2" w14:textId="77777777" w:rsidR="00B075B7" w:rsidRPr="00A3190F" w:rsidRDefault="00B075B7" w:rsidP="00B075B7">
      <w:pPr>
        <w:jc w:val="both"/>
        <w:rPr>
          <w:rFonts w:cs="Arial"/>
          <w:b/>
          <w:i/>
          <w:szCs w:val="22"/>
        </w:rPr>
      </w:pPr>
      <w:r w:rsidRPr="00A3190F">
        <w:rPr>
          <w:rFonts w:cs="Arial"/>
          <w:szCs w:val="22"/>
        </w:rPr>
        <w:t>Dispositions du décret n° 2010-997 du 26 août 2010 applicables dans la FPE</w:t>
      </w:r>
      <w:r w:rsidRPr="00A3190F">
        <w:rPr>
          <w:rFonts w:cs="Arial"/>
          <w:b/>
          <w:i/>
          <w:szCs w:val="22"/>
        </w:rPr>
        <w:t xml:space="preserve"> </w:t>
      </w:r>
      <w:r w:rsidRPr="00A3190F">
        <w:rPr>
          <w:rFonts w:cs="Arial"/>
          <w:b/>
          <w:i/>
          <w:szCs w:val="22"/>
          <w:highlight w:val="yellow"/>
        </w:rPr>
        <w:t xml:space="preserve">(d’autres modalités peuvent être fixées par la collectivité, </w:t>
      </w:r>
      <w:r w:rsidRPr="00A3190F">
        <w:rPr>
          <w:rFonts w:cs="Arial"/>
          <w:b/>
          <w:i/>
          <w:szCs w:val="22"/>
        </w:rPr>
        <w:t>sous réserve qu’elles ne soient pas plus favorables) :</w:t>
      </w:r>
    </w:p>
    <w:p w14:paraId="560F5B5F" w14:textId="77777777" w:rsidR="00B075B7" w:rsidRPr="00A3190F" w:rsidRDefault="00B075B7" w:rsidP="00B075B7">
      <w:pPr>
        <w:spacing w:before="120"/>
        <w:jc w:val="both"/>
        <w:rPr>
          <w:rFonts w:cs="Arial"/>
          <w:szCs w:val="22"/>
        </w:rPr>
      </w:pPr>
      <w:r w:rsidRPr="00A3190F">
        <w:rPr>
          <w:rFonts w:cs="Arial"/>
          <w:szCs w:val="22"/>
        </w:rPr>
        <w:t xml:space="preserve">L’agent continuera à percevoir intégralement son régime indemnitaire (IFSE + CIA) dans les cas suivants : </w:t>
      </w:r>
    </w:p>
    <w:p w14:paraId="2631225B" w14:textId="77777777" w:rsidR="00B075B7" w:rsidRPr="00A3190F" w:rsidRDefault="00B075B7" w:rsidP="00B075B7">
      <w:pPr>
        <w:numPr>
          <w:ilvl w:val="0"/>
          <w:numId w:val="2"/>
        </w:numPr>
        <w:jc w:val="both"/>
        <w:rPr>
          <w:rFonts w:cs="Arial"/>
          <w:szCs w:val="22"/>
        </w:rPr>
      </w:pPr>
      <w:r w:rsidRPr="00A3190F">
        <w:rPr>
          <w:rFonts w:cs="Arial"/>
          <w:szCs w:val="22"/>
        </w:rPr>
        <w:t>Congés annuels</w:t>
      </w:r>
    </w:p>
    <w:p w14:paraId="45FFC48A" w14:textId="77777777" w:rsidR="00B075B7" w:rsidRPr="00A3190F" w:rsidRDefault="00B075B7" w:rsidP="00B075B7">
      <w:pPr>
        <w:numPr>
          <w:ilvl w:val="0"/>
          <w:numId w:val="2"/>
        </w:numPr>
        <w:jc w:val="both"/>
        <w:rPr>
          <w:rFonts w:cs="Arial"/>
          <w:szCs w:val="22"/>
        </w:rPr>
      </w:pPr>
      <w:r w:rsidRPr="00A3190F">
        <w:rPr>
          <w:rFonts w:cs="Arial"/>
          <w:szCs w:val="22"/>
        </w:rPr>
        <w:t>Récupération de temps de travail</w:t>
      </w:r>
    </w:p>
    <w:p w14:paraId="0023C6EA" w14:textId="77777777" w:rsidR="00B075B7" w:rsidRPr="00A3190F" w:rsidRDefault="00B075B7" w:rsidP="00B075B7">
      <w:pPr>
        <w:numPr>
          <w:ilvl w:val="0"/>
          <w:numId w:val="2"/>
        </w:numPr>
        <w:jc w:val="both"/>
        <w:rPr>
          <w:rFonts w:cs="Arial"/>
          <w:szCs w:val="22"/>
        </w:rPr>
      </w:pPr>
      <w:r w:rsidRPr="00A3190F">
        <w:rPr>
          <w:rFonts w:cs="Arial"/>
          <w:szCs w:val="22"/>
        </w:rPr>
        <w:t>Compte épargne temps</w:t>
      </w:r>
    </w:p>
    <w:p w14:paraId="7792BE3F" w14:textId="77777777" w:rsidR="00B075B7" w:rsidRPr="00A3190F" w:rsidRDefault="00B075B7" w:rsidP="00B075B7">
      <w:pPr>
        <w:numPr>
          <w:ilvl w:val="0"/>
          <w:numId w:val="2"/>
        </w:numPr>
        <w:jc w:val="both"/>
        <w:rPr>
          <w:rFonts w:cs="Arial"/>
          <w:szCs w:val="22"/>
        </w:rPr>
      </w:pPr>
      <w:r w:rsidRPr="00A3190F">
        <w:rPr>
          <w:rFonts w:cs="Arial"/>
          <w:szCs w:val="22"/>
        </w:rPr>
        <w:t>Autorisations exceptionnelles d’absence</w:t>
      </w:r>
    </w:p>
    <w:p w14:paraId="53995C6A" w14:textId="77777777" w:rsidR="00B075B7" w:rsidRPr="00A3190F" w:rsidRDefault="00B075B7" w:rsidP="00B075B7">
      <w:pPr>
        <w:numPr>
          <w:ilvl w:val="0"/>
          <w:numId w:val="2"/>
        </w:numPr>
        <w:jc w:val="both"/>
        <w:rPr>
          <w:rFonts w:cs="Arial"/>
          <w:szCs w:val="22"/>
        </w:rPr>
      </w:pPr>
      <w:r w:rsidRPr="00A3190F">
        <w:rPr>
          <w:rFonts w:cs="Arial"/>
          <w:szCs w:val="22"/>
        </w:rPr>
        <w:t>Congés maternité, paternité le congé de paternité et d'accueil de l'enfant, adoption</w:t>
      </w:r>
    </w:p>
    <w:p w14:paraId="3D7B3B87" w14:textId="77777777" w:rsidR="00B075B7" w:rsidRPr="00A3190F" w:rsidRDefault="00B075B7" w:rsidP="00B075B7">
      <w:pPr>
        <w:numPr>
          <w:ilvl w:val="0"/>
          <w:numId w:val="2"/>
        </w:numPr>
        <w:jc w:val="both"/>
        <w:rPr>
          <w:rFonts w:cs="Arial"/>
          <w:szCs w:val="22"/>
        </w:rPr>
      </w:pPr>
      <w:r w:rsidRPr="00A3190F">
        <w:rPr>
          <w:rFonts w:cs="Arial"/>
          <w:szCs w:val="22"/>
        </w:rPr>
        <w:t xml:space="preserve">Formations, stages professionnels ou tout acte dans le cadre professionnel extérieur au lieu de travail habituel. </w:t>
      </w:r>
    </w:p>
    <w:p w14:paraId="3BA78EE6" w14:textId="77777777" w:rsidR="00B075B7" w:rsidRPr="00A3190F" w:rsidRDefault="00B075B7" w:rsidP="00B075B7">
      <w:pPr>
        <w:spacing w:before="120"/>
        <w:jc w:val="both"/>
        <w:rPr>
          <w:rFonts w:cs="Arial"/>
          <w:szCs w:val="22"/>
        </w:rPr>
      </w:pPr>
      <w:r w:rsidRPr="00A3190F">
        <w:rPr>
          <w:rFonts w:cs="Arial"/>
          <w:szCs w:val="22"/>
        </w:rPr>
        <w:t>L’IFSE suivra le sort du traitement en cas de :</w:t>
      </w:r>
    </w:p>
    <w:p w14:paraId="2621D3C4" w14:textId="77777777" w:rsidR="00B075B7" w:rsidRPr="00A3190F" w:rsidRDefault="00B075B7" w:rsidP="00B075B7">
      <w:pPr>
        <w:pStyle w:val="Paragraphedeliste"/>
        <w:numPr>
          <w:ilvl w:val="0"/>
          <w:numId w:val="2"/>
        </w:numPr>
        <w:jc w:val="both"/>
        <w:rPr>
          <w:rFonts w:ascii="Arial" w:hAnsi="Arial" w:cs="Arial"/>
          <w:szCs w:val="22"/>
        </w:rPr>
      </w:pPr>
      <w:r w:rsidRPr="00A3190F">
        <w:rPr>
          <w:rFonts w:ascii="Arial" w:hAnsi="Arial" w:cs="Arial"/>
          <w:szCs w:val="22"/>
        </w:rPr>
        <w:t>Congé de maladie ordinaire (CMO)</w:t>
      </w:r>
    </w:p>
    <w:p w14:paraId="7AC5C13E" w14:textId="77777777" w:rsidR="00B075B7" w:rsidRPr="00A3190F" w:rsidRDefault="00B075B7" w:rsidP="00B075B7">
      <w:pPr>
        <w:numPr>
          <w:ilvl w:val="0"/>
          <w:numId w:val="2"/>
        </w:numPr>
        <w:jc w:val="both"/>
        <w:rPr>
          <w:rFonts w:cs="Arial"/>
          <w:szCs w:val="22"/>
        </w:rPr>
      </w:pPr>
      <w:r w:rsidRPr="00A3190F">
        <w:rPr>
          <w:rFonts w:cs="Arial"/>
          <w:szCs w:val="22"/>
        </w:rPr>
        <w:t>Congé pour invalidité temporaire imputable au service (CITIS)</w:t>
      </w:r>
    </w:p>
    <w:p w14:paraId="0F936CD3" w14:textId="77777777" w:rsidR="00B075B7" w:rsidRPr="00A3190F" w:rsidRDefault="00B075B7" w:rsidP="00B075B7">
      <w:pPr>
        <w:pStyle w:val="Paragraphedeliste"/>
        <w:numPr>
          <w:ilvl w:val="0"/>
          <w:numId w:val="2"/>
        </w:numPr>
        <w:jc w:val="both"/>
        <w:rPr>
          <w:rFonts w:ascii="Arial" w:hAnsi="Arial" w:cs="Arial"/>
          <w:szCs w:val="22"/>
        </w:rPr>
      </w:pPr>
      <w:r w:rsidRPr="00A3190F">
        <w:rPr>
          <w:rFonts w:ascii="Arial" w:hAnsi="Arial" w:cs="Arial"/>
          <w:szCs w:val="22"/>
        </w:rPr>
        <w:t>Temps partiel thérapeutique (TPT)</w:t>
      </w:r>
    </w:p>
    <w:p w14:paraId="25C29386" w14:textId="77777777" w:rsidR="00B075B7" w:rsidRPr="00A3190F" w:rsidRDefault="00B075B7" w:rsidP="00B075B7">
      <w:pPr>
        <w:pStyle w:val="Paragraphedeliste"/>
        <w:numPr>
          <w:ilvl w:val="0"/>
          <w:numId w:val="2"/>
        </w:numPr>
        <w:spacing w:before="120"/>
        <w:jc w:val="both"/>
        <w:rPr>
          <w:rFonts w:ascii="Arial" w:hAnsi="Arial" w:cs="Arial"/>
          <w:szCs w:val="22"/>
        </w:rPr>
      </w:pPr>
      <w:r w:rsidRPr="00A3190F">
        <w:rPr>
          <w:rFonts w:ascii="Arial" w:hAnsi="Arial" w:cs="Arial"/>
          <w:szCs w:val="22"/>
        </w:rPr>
        <w:t>Période de Préparation au Reclassement (PPR)</w:t>
      </w:r>
    </w:p>
    <w:p w14:paraId="34A2505A" w14:textId="77777777" w:rsidR="00B075B7" w:rsidRPr="00A3190F" w:rsidRDefault="00B075B7" w:rsidP="00B075B7">
      <w:pPr>
        <w:jc w:val="both"/>
        <w:rPr>
          <w:rFonts w:cs="Arial"/>
          <w:szCs w:val="22"/>
        </w:rPr>
      </w:pPr>
    </w:p>
    <w:p w14:paraId="51F149E9" w14:textId="77777777" w:rsidR="00B075B7" w:rsidRPr="00A3190F" w:rsidRDefault="00B075B7" w:rsidP="00B075B7">
      <w:pPr>
        <w:jc w:val="both"/>
        <w:rPr>
          <w:rFonts w:cs="Arial"/>
          <w:szCs w:val="22"/>
        </w:rPr>
      </w:pPr>
      <w:r w:rsidRPr="00A3190F">
        <w:rPr>
          <w:rFonts w:cs="Arial"/>
          <w:szCs w:val="22"/>
        </w:rPr>
        <w:t xml:space="preserve">Le CIA sera maintenu en cas de CMO, CITIS, TPT, PPR, </w:t>
      </w:r>
      <w:r w:rsidRPr="00A3190F">
        <w:rPr>
          <w:rFonts w:cs="Arial"/>
          <w:b/>
          <w:bCs/>
          <w:szCs w:val="22"/>
        </w:rPr>
        <w:t>sous réserve que la manière de servir et la performance de l'agent aient pu effectivement être évaluées au cours de l’année</w:t>
      </w:r>
      <w:r w:rsidRPr="00A3190F">
        <w:rPr>
          <w:rFonts w:cs="Arial"/>
          <w:szCs w:val="22"/>
        </w:rPr>
        <w:t>.</w:t>
      </w:r>
    </w:p>
    <w:p w14:paraId="30AD58D8" w14:textId="77777777" w:rsidR="00B075B7" w:rsidRPr="00A3190F" w:rsidRDefault="00B075B7" w:rsidP="00B075B7">
      <w:pPr>
        <w:jc w:val="both"/>
        <w:rPr>
          <w:rFonts w:cs="Arial"/>
          <w:szCs w:val="22"/>
        </w:rPr>
      </w:pPr>
    </w:p>
    <w:p w14:paraId="05363136" w14:textId="77777777" w:rsidR="00B075B7" w:rsidRPr="00A3190F" w:rsidRDefault="00B075B7" w:rsidP="00B075B7">
      <w:pPr>
        <w:jc w:val="both"/>
        <w:rPr>
          <w:rFonts w:cs="Arial"/>
          <w:szCs w:val="22"/>
        </w:rPr>
      </w:pPr>
      <w:r w:rsidRPr="00A3190F">
        <w:rPr>
          <w:rFonts w:cs="Arial"/>
          <w:szCs w:val="22"/>
        </w:rPr>
        <w:t>En cas de congé de longue maladie, longue durée et grave maladie : le versement du régime indemnitaire (IFSE + CIA) sera suspendu.</w:t>
      </w:r>
    </w:p>
    <w:p w14:paraId="0B0A96D3" w14:textId="77777777" w:rsidR="00B075B7" w:rsidRPr="00A3190F" w:rsidRDefault="00B075B7" w:rsidP="00B075B7">
      <w:pPr>
        <w:jc w:val="both"/>
        <w:rPr>
          <w:rFonts w:cs="Arial"/>
          <w:szCs w:val="22"/>
        </w:rPr>
      </w:pPr>
    </w:p>
    <w:p w14:paraId="3048C497" w14:textId="77777777" w:rsidR="00B075B7" w:rsidRPr="00A3190F" w:rsidRDefault="00B075B7" w:rsidP="00B075B7">
      <w:pPr>
        <w:spacing w:after="120"/>
        <w:jc w:val="both"/>
        <w:rPr>
          <w:rFonts w:cs="Arial"/>
          <w:szCs w:val="22"/>
        </w:rPr>
      </w:pPr>
      <w:r w:rsidRPr="00A3190F">
        <w:rPr>
          <w:rFonts w:cs="Arial"/>
          <w:b/>
          <w:bCs/>
          <w:szCs w:val="22"/>
          <w:u w:val="single"/>
        </w:rPr>
        <w:t>Article 6</w:t>
      </w:r>
      <w:r w:rsidRPr="00A3190F">
        <w:rPr>
          <w:rFonts w:cs="Arial"/>
          <w:szCs w:val="22"/>
        </w:rPr>
        <w:t xml:space="preserve"> : </w:t>
      </w:r>
    </w:p>
    <w:p w14:paraId="72AAA793" w14:textId="77777777" w:rsidR="00B075B7" w:rsidRPr="00A3190F" w:rsidRDefault="00B075B7" w:rsidP="00B075B7">
      <w:pPr>
        <w:jc w:val="both"/>
        <w:rPr>
          <w:rFonts w:cs="Arial"/>
          <w:szCs w:val="22"/>
        </w:rPr>
      </w:pPr>
      <w:r w:rsidRPr="00A3190F">
        <w:rPr>
          <w:rFonts w:cs="Arial"/>
          <w:szCs w:val="22"/>
        </w:rPr>
        <w:t xml:space="preserve">La part fixe du régime indemnitaire sera versée </w:t>
      </w:r>
      <w:r w:rsidRPr="00A3190F">
        <w:rPr>
          <w:rFonts w:cs="Arial"/>
          <w:b/>
          <w:i/>
          <w:szCs w:val="22"/>
          <w:highlight w:val="yellow"/>
        </w:rPr>
        <w:t>mensuellement</w:t>
      </w:r>
      <w:r w:rsidRPr="00A3190F">
        <w:rPr>
          <w:rFonts w:cs="Arial"/>
          <w:szCs w:val="22"/>
        </w:rPr>
        <w:t xml:space="preserve"> </w:t>
      </w:r>
      <w:r w:rsidRPr="00A3190F">
        <w:rPr>
          <w:rFonts w:cs="Arial"/>
          <w:b/>
          <w:i/>
          <w:szCs w:val="22"/>
          <w:highlight w:val="yellow"/>
        </w:rPr>
        <w:t>(option : d’autres périodicités de versement peuvent être fixées)</w:t>
      </w:r>
      <w:r w:rsidRPr="00A3190F">
        <w:rPr>
          <w:rFonts w:cs="Arial"/>
          <w:b/>
          <w:i/>
          <w:szCs w:val="22"/>
        </w:rPr>
        <w:t xml:space="preserve"> </w:t>
      </w:r>
      <w:r w:rsidRPr="00A3190F">
        <w:rPr>
          <w:rFonts w:cs="Arial"/>
          <w:szCs w:val="22"/>
        </w:rPr>
        <w:t xml:space="preserve">au prorata du temps de travail. </w:t>
      </w:r>
    </w:p>
    <w:p w14:paraId="17EBA0A0" w14:textId="77777777" w:rsidR="00B075B7" w:rsidRPr="00A3190F" w:rsidRDefault="00B075B7" w:rsidP="00B075B7">
      <w:pPr>
        <w:spacing w:before="120"/>
        <w:jc w:val="both"/>
        <w:rPr>
          <w:rFonts w:cs="Arial"/>
          <w:b/>
          <w:szCs w:val="22"/>
        </w:rPr>
      </w:pPr>
      <w:r w:rsidRPr="00A3190F">
        <w:rPr>
          <w:rFonts w:cs="Arial"/>
          <w:szCs w:val="22"/>
        </w:rPr>
        <w:t>La part variable fera l’objet d’un versement</w:t>
      </w:r>
      <w:r w:rsidRPr="00A3190F">
        <w:rPr>
          <w:rFonts w:cs="Arial"/>
          <w:szCs w:val="22"/>
          <w:highlight w:val="yellow"/>
        </w:rPr>
        <w:t xml:space="preserve"> </w:t>
      </w:r>
      <w:r w:rsidRPr="00A3190F">
        <w:rPr>
          <w:rFonts w:cs="Arial"/>
          <w:b/>
          <w:i/>
          <w:szCs w:val="22"/>
          <w:highlight w:val="yellow"/>
        </w:rPr>
        <w:t>annuel</w:t>
      </w:r>
      <w:r w:rsidRPr="00A3190F">
        <w:rPr>
          <w:rFonts w:cs="Arial"/>
          <w:szCs w:val="22"/>
          <w:highlight w:val="yellow"/>
        </w:rPr>
        <w:t xml:space="preserve"> </w:t>
      </w:r>
      <w:r w:rsidRPr="00A3190F">
        <w:rPr>
          <w:rFonts w:cs="Arial"/>
          <w:b/>
          <w:i/>
          <w:szCs w:val="22"/>
          <w:highlight w:val="yellow"/>
        </w:rPr>
        <w:t>(option : d’autres périodicités de versement peuvent être fixées)</w:t>
      </w:r>
      <w:r w:rsidRPr="00A3190F">
        <w:rPr>
          <w:rFonts w:cs="Arial"/>
          <w:szCs w:val="22"/>
          <w:highlight w:val="yellow"/>
        </w:rPr>
        <w:t xml:space="preserve">, </w:t>
      </w:r>
      <w:r w:rsidRPr="00A3190F">
        <w:rPr>
          <w:rFonts w:cs="Arial"/>
          <w:szCs w:val="22"/>
        </w:rPr>
        <w:t>au mois de</w:t>
      </w:r>
      <w:r w:rsidRPr="00A3190F">
        <w:rPr>
          <w:rFonts w:cs="Arial"/>
          <w:b/>
          <w:szCs w:val="22"/>
        </w:rPr>
        <w:t xml:space="preserve"> </w:t>
      </w:r>
      <w:r w:rsidRPr="00A3190F">
        <w:rPr>
          <w:rFonts w:cs="Arial"/>
          <w:b/>
          <w:szCs w:val="22"/>
          <w:highlight w:val="yellow"/>
        </w:rPr>
        <w:t>XXXX</w:t>
      </w:r>
      <w:r w:rsidRPr="00A3190F">
        <w:rPr>
          <w:rFonts w:cs="Arial"/>
          <w:szCs w:val="22"/>
          <w:highlight w:val="yellow"/>
        </w:rPr>
        <w:t xml:space="preserve"> </w:t>
      </w:r>
      <w:r w:rsidRPr="00A3190F">
        <w:rPr>
          <w:rFonts w:cs="Arial"/>
          <w:szCs w:val="22"/>
        </w:rPr>
        <w:t xml:space="preserve">de chaque année </w:t>
      </w:r>
      <w:r w:rsidRPr="00A3190F">
        <w:rPr>
          <w:rFonts w:cs="Arial"/>
          <w:b/>
          <w:szCs w:val="22"/>
          <w:highlight w:val="yellow"/>
        </w:rPr>
        <w:t>OU</w:t>
      </w:r>
      <w:r w:rsidRPr="00A3190F">
        <w:rPr>
          <w:rFonts w:cs="Arial"/>
          <w:szCs w:val="22"/>
        </w:rPr>
        <w:t xml:space="preserve"> 2 fois par an en</w:t>
      </w:r>
      <w:r w:rsidRPr="00A3190F">
        <w:rPr>
          <w:rFonts w:cs="Arial"/>
          <w:szCs w:val="22"/>
          <w:highlight w:val="yellow"/>
        </w:rPr>
        <w:t xml:space="preserve"> </w:t>
      </w:r>
      <w:r w:rsidRPr="00A3190F">
        <w:rPr>
          <w:rFonts w:cs="Arial"/>
          <w:b/>
          <w:szCs w:val="22"/>
          <w:highlight w:val="yellow"/>
        </w:rPr>
        <w:t>XXXX et XXXX.</w:t>
      </w:r>
    </w:p>
    <w:p w14:paraId="457DD518" w14:textId="77777777" w:rsidR="00B075B7" w:rsidRPr="00A3190F" w:rsidRDefault="00B075B7" w:rsidP="00B075B7">
      <w:pPr>
        <w:jc w:val="both"/>
        <w:rPr>
          <w:rFonts w:cs="Arial"/>
          <w:b/>
          <w:szCs w:val="22"/>
        </w:rPr>
      </w:pPr>
    </w:p>
    <w:p w14:paraId="0764D1B0" w14:textId="77777777" w:rsidR="00B075B7" w:rsidRPr="00A3190F" w:rsidRDefault="00B075B7" w:rsidP="00B075B7">
      <w:pPr>
        <w:spacing w:after="120"/>
        <w:jc w:val="both"/>
        <w:rPr>
          <w:rFonts w:cs="Arial"/>
          <w:b/>
          <w:bCs/>
          <w:szCs w:val="22"/>
          <w:u w:val="single"/>
        </w:rPr>
      </w:pPr>
      <w:r w:rsidRPr="00A3190F">
        <w:rPr>
          <w:rFonts w:cs="Arial"/>
          <w:b/>
          <w:bCs/>
          <w:szCs w:val="22"/>
          <w:u w:val="single"/>
        </w:rPr>
        <w:t>Article 7 (f</w:t>
      </w:r>
      <w:r w:rsidRPr="00A3190F">
        <w:rPr>
          <w:rFonts w:cs="Arial"/>
          <w:b/>
          <w:bCs/>
          <w:szCs w:val="22"/>
          <w:highlight w:val="yellow"/>
          <w:u w:val="single"/>
        </w:rPr>
        <w:t>acultatif</w:t>
      </w:r>
      <w:r w:rsidRPr="00A3190F">
        <w:rPr>
          <w:rFonts w:cs="Arial"/>
          <w:b/>
          <w:bCs/>
          <w:szCs w:val="22"/>
          <w:u w:val="single"/>
        </w:rPr>
        <w:t xml:space="preserve">) : </w:t>
      </w:r>
    </w:p>
    <w:p w14:paraId="41CD09DB" w14:textId="77777777" w:rsidR="00B075B7" w:rsidRPr="00A3190F" w:rsidRDefault="00B075B7" w:rsidP="00B075B7">
      <w:pPr>
        <w:jc w:val="both"/>
        <w:rPr>
          <w:rFonts w:cs="Arial"/>
          <w:szCs w:val="22"/>
        </w:rPr>
      </w:pPr>
      <w:r w:rsidRPr="00A3190F">
        <w:rPr>
          <w:rFonts w:cs="Arial"/>
          <w:szCs w:val="22"/>
        </w:rPr>
        <w:t xml:space="preserve">En application de l’article 6 du décret du 20 mai 2014, les agents qui percevaient antérieurement à la présente délibération un niveau indemnitaire mensuel supérieur à celui de leur groupe de fonctions, percevront au titre de l’IFSE une indemnité différentielle à hauteur de ce montant. </w:t>
      </w:r>
    </w:p>
    <w:p w14:paraId="71FFE3E2" w14:textId="77777777" w:rsidR="00B075B7" w:rsidRPr="00A3190F" w:rsidRDefault="00B075B7" w:rsidP="00B075B7">
      <w:pPr>
        <w:spacing w:after="120"/>
        <w:jc w:val="both"/>
        <w:rPr>
          <w:rFonts w:cs="Arial"/>
          <w:szCs w:val="22"/>
        </w:rPr>
      </w:pPr>
      <w:r w:rsidRPr="00A3190F">
        <w:rPr>
          <w:rFonts w:cs="Arial"/>
          <w:szCs w:val="22"/>
        </w:rPr>
        <w:t>Ce niveau sera maintenu jusqu’à ce que l’agent change de poste.</w:t>
      </w:r>
    </w:p>
    <w:p w14:paraId="00D64054" w14:textId="77777777" w:rsidR="00B075B7" w:rsidRPr="00A3190F" w:rsidRDefault="00B075B7" w:rsidP="00B075B7">
      <w:pPr>
        <w:jc w:val="both"/>
        <w:rPr>
          <w:rFonts w:cs="Arial"/>
          <w:szCs w:val="22"/>
        </w:rPr>
      </w:pPr>
    </w:p>
    <w:p w14:paraId="366E874B" w14:textId="77777777" w:rsidR="00B075B7" w:rsidRPr="00A3190F" w:rsidRDefault="00B075B7" w:rsidP="00B075B7">
      <w:pPr>
        <w:spacing w:after="120"/>
        <w:jc w:val="both"/>
        <w:rPr>
          <w:rFonts w:cs="Arial"/>
          <w:szCs w:val="22"/>
        </w:rPr>
      </w:pPr>
      <w:r w:rsidRPr="00A3190F">
        <w:rPr>
          <w:rFonts w:cs="Arial"/>
          <w:b/>
          <w:bCs/>
          <w:szCs w:val="22"/>
          <w:u w:val="single"/>
        </w:rPr>
        <w:t>Article 8</w:t>
      </w:r>
      <w:r w:rsidRPr="00A3190F">
        <w:rPr>
          <w:rFonts w:cs="Arial"/>
          <w:szCs w:val="22"/>
        </w:rPr>
        <w:t xml:space="preserve"> : </w:t>
      </w:r>
    </w:p>
    <w:p w14:paraId="49492B9A" w14:textId="77777777" w:rsidR="00B075B7" w:rsidRPr="00A3190F" w:rsidRDefault="00B075B7" w:rsidP="00B075B7">
      <w:pPr>
        <w:jc w:val="both"/>
        <w:rPr>
          <w:rFonts w:cs="Arial"/>
          <w:szCs w:val="22"/>
        </w:rPr>
      </w:pPr>
      <w:r w:rsidRPr="00A3190F">
        <w:rPr>
          <w:rFonts w:cs="Arial"/>
          <w:szCs w:val="22"/>
        </w:rPr>
        <w:lastRenderedPageBreak/>
        <w:t xml:space="preserve">Le Maire est autorisé à prendre les arrêtés individuels d’attribution du régime indemnitaire et à signer, au nom et pour le compte de la Mairie, toutes pièces de nature administrative, technique ou financière nécessaires à l’application de la présente délibération. </w:t>
      </w:r>
    </w:p>
    <w:p w14:paraId="171A92B5" w14:textId="77777777" w:rsidR="00B075B7" w:rsidRPr="00A3190F" w:rsidRDefault="00B075B7" w:rsidP="00B075B7">
      <w:pPr>
        <w:jc w:val="both"/>
        <w:rPr>
          <w:rFonts w:cs="Arial"/>
          <w:szCs w:val="22"/>
        </w:rPr>
      </w:pPr>
    </w:p>
    <w:p w14:paraId="717AE279" w14:textId="77777777" w:rsidR="00B075B7" w:rsidRPr="00A3190F" w:rsidRDefault="00B075B7" w:rsidP="00B075B7">
      <w:pPr>
        <w:spacing w:after="120"/>
        <w:jc w:val="both"/>
        <w:rPr>
          <w:rFonts w:cs="Arial"/>
          <w:szCs w:val="22"/>
        </w:rPr>
      </w:pPr>
      <w:r w:rsidRPr="00A3190F">
        <w:rPr>
          <w:rFonts w:cs="Arial"/>
          <w:b/>
          <w:bCs/>
          <w:szCs w:val="22"/>
          <w:u w:val="single"/>
        </w:rPr>
        <w:t>Article 9</w:t>
      </w:r>
      <w:r w:rsidRPr="00A3190F">
        <w:rPr>
          <w:rFonts w:cs="Arial"/>
          <w:szCs w:val="22"/>
        </w:rPr>
        <w:t xml:space="preserve"> : </w:t>
      </w:r>
    </w:p>
    <w:p w14:paraId="124F290E" w14:textId="77777777" w:rsidR="00B075B7" w:rsidRPr="00A3190F" w:rsidRDefault="00B075B7" w:rsidP="00B075B7">
      <w:pPr>
        <w:jc w:val="both"/>
        <w:rPr>
          <w:rFonts w:cs="Arial"/>
          <w:szCs w:val="22"/>
        </w:rPr>
      </w:pPr>
      <w:r w:rsidRPr="00A3190F">
        <w:rPr>
          <w:rFonts w:cs="Arial"/>
          <w:szCs w:val="22"/>
        </w:rPr>
        <w:t>Le montant du régime indemnitaire fait l’objet d’un réexamen :</w:t>
      </w:r>
    </w:p>
    <w:p w14:paraId="01E6C38C" w14:textId="77777777" w:rsidR="00B075B7" w:rsidRPr="00A3190F" w:rsidRDefault="00B075B7" w:rsidP="00B075B7">
      <w:pPr>
        <w:numPr>
          <w:ilvl w:val="0"/>
          <w:numId w:val="2"/>
        </w:numPr>
        <w:jc w:val="both"/>
        <w:rPr>
          <w:rFonts w:cs="Arial"/>
          <w:szCs w:val="22"/>
        </w:rPr>
      </w:pPr>
      <w:r w:rsidRPr="00A3190F">
        <w:rPr>
          <w:rFonts w:cs="Arial"/>
          <w:szCs w:val="22"/>
        </w:rPr>
        <w:t>En cas de changement de fonctions</w:t>
      </w:r>
    </w:p>
    <w:p w14:paraId="0CE893F3" w14:textId="77777777" w:rsidR="00B075B7" w:rsidRPr="00A3190F" w:rsidRDefault="00B075B7" w:rsidP="00B075B7">
      <w:pPr>
        <w:numPr>
          <w:ilvl w:val="0"/>
          <w:numId w:val="2"/>
        </w:numPr>
        <w:jc w:val="both"/>
        <w:rPr>
          <w:rFonts w:cs="Arial"/>
          <w:szCs w:val="22"/>
        </w:rPr>
      </w:pPr>
      <w:r w:rsidRPr="00A3190F">
        <w:rPr>
          <w:rFonts w:cs="Arial"/>
          <w:szCs w:val="22"/>
        </w:rPr>
        <w:t>En cas de changement de grade</w:t>
      </w:r>
    </w:p>
    <w:p w14:paraId="51808CB2" w14:textId="77777777" w:rsidR="00B075B7" w:rsidRPr="00A3190F" w:rsidRDefault="00B075B7" w:rsidP="00B075B7">
      <w:pPr>
        <w:numPr>
          <w:ilvl w:val="0"/>
          <w:numId w:val="2"/>
        </w:numPr>
        <w:jc w:val="both"/>
        <w:rPr>
          <w:rFonts w:cs="Arial"/>
          <w:szCs w:val="22"/>
        </w:rPr>
      </w:pPr>
      <w:r w:rsidRPr="00A3190F">
        <w:rPr>
          <w:rFonts w:cs="Arial"/>
          <w:szCs w:val="22"/>
        </w:rPr>
        <w:t>Tous les 4 ans en l’absence de changement et au vu de l’expérience acquise.</w:t>
      </w:r>
    </w:p>
    <w:p w14:paraId="4BA27B12" w14:textId="77777777" w:rsidR="00B075B7" w:rsidRPr="00A3190F" w:rsidRDefault="00B075B7" w:rsidP="00B075B7">
      <w:pPr>
        <w:jc w:val="both"/>
        <w:rPr>
          <w:rFonts w:cs="Arial"/>
          <w:szCs w:val="22"/>
        </w:rPr>
      </w:pPr>
    </w:p>
    <w:p w14:paraId="33583A1B" w14:textId="77777777" w:rsidR="00B075B7" w:rsidRPr="00A3190F" w:rsidRDefault="00B075B7" w:rsidP="00B075B7">
      <w:pPr>
        <w:spacing w:after="120"/>
        <w:jc w:val="both"/>
        <w:rPr>
          <w:rFonts w:cs="Arial"/>
          <w:szCs w:val="22"/>
        </w:rPr>
      </w:pPr>
      <w:r w:rsidRPr="00A3190F">
        <w:rPr>
          <w:rFonts w:cs="Arial"/>
          <w:b/>
          <w:bCs/>
          <w:szCs w:val="22"/>
          <w:u w:val="single"/>
        </w:rPr>
        <w:t>Article 10</w:t>
      </w:r>
      <w:r w:rsidRPr="00A3190F">
        <w:rPr>
          <w:rFonts w:cs="Arial"/>
          <w:szCs w:val="22"/>
        </w:rPr>
        <w:t xml:space="preserve"> : </w:t>
      </w:r>
    </w:p>
    <w:p w14:paraId="5AB9EC1B" w14:textId="77777777" w:rsidR="00B075B7" w:rsidRPr="00A3190F" w:rsidRDefault="00B075B7" w:rsidP="00B075B7">
      <w:pPr>
        <w:jc w:val="both"/>
        <w:rPr>
          <w:rFonts w:cs="Arial"/>
          <w:szCs w:val="22"/>
        </w:rPr>
      </w:pPr>
      <w:r w:rsidRPr="00A3190F">
        <w:rPr>
          <w:rFonts w:cs="Arial"/>
          <w:szCs w:val="22"/>
        </w:rPr>
        <w:t xml:space="preserve">Les crédits correspondants seront inscrits au budget de la collectivité. </w:t>
      </w:r>
    </w:p>
    <w:p w14:paraId="29A3C0E5" w14:textId="77777777" w:rsidR="00B075B7" w:rsidRPr="00A3190F" w:rsidRDefault="00B075B7" w:rsidP="00B075B7">
      <w:pPr>
        <w:jc w:val="both"/>
        <w:rPr>
          <w:rFonts w:cs="Arial"/>
          <w:szCs w:val="22"/>
        </w:rPr>
      </w:pPr>
    </w:p>
    <w:p w14:paraId="0A2BD90D" w14:textId="77777777" w:rsidR="00B075B7" w:rsidRPr="00A3190F" w:rsidRDefault="00B075B7" w:rsidP="00B075B7">
      <w:pPr>
        <w:spacing w:after="120"/>
        <w:jc w:val="both"/>
        <w:rPr>
          <w:rFonts w:cs="Arial"/>
          <w:b/>
          <w:bCs/>
          <w:szCs w:val="22"/>
          <w:u w:val="single"/>
        </w:rPr>
      </w:pPr>
    </w:p>
    <w:p w14:paraId="4F32829E" w14:textId="77777777" w:rsidR="00B075B7" w:rsidRPr="00A3190F" w:rsidRDefault="00B075B7" w:rsidP="00B075B7">
      <w:pPr>
        <w:spacing w:after="120"/>
        <w:jc w:val="both"/>
        <w:rPr>
          <w:rFonts w:cs="Arial"/>
          <w:szCs w:val="22"/>
        </w:rPr>
      </w:pPr>
      <w:r w:rsidRPr="00A3190F">
        <w:rPr>
          <w:rFonts w:cs="Arial"/>
          <w:b/>
          <w:bCs/>
          <w:szCs w:val="22"/>
          <w:u w:val="single"/>
        </w:rPr>
        <w:t>Article 11</w:t>
      </w:r>
      <w:r w:rsidRPr="00A3190F">
        <w:rPr>
          <w:rFonts w:cs="Arial"/>
          <w:szCs w:val="22"/>
        </w:rPr>
        <w:t> :</w:t>
      </w:r>
    </w:p>
    <w:p w14:paraId="5FC9B865" w14:textId="77777777" w:rsidR="00B075B7" w:rsidRPr="00A3190F" w:rsidRDefault="00B075B7" w:rsidP="00B075B7">
      <w:pPr>
        <w:jc w:val="both"/>
        <w:rPr>
          <w:rFonts w:cs="Arial"/>
          <w:szCs w:val="22"/>
        </w:rPr>
      </w:pPr>
      <w:r w:rsidRPr="00A3190F">
        <w:rPr>
          <w:rFonts w:cs="Arial"/>
          <w:szCs w:val="22"/>
        </w:rPr>
        <w:t>La présente délibération prend effet au ……</w:t>
      </w:r>
    </w:p>
    <w:p w14:paraId="58B3E217" w14:textId="77777777" w:rsidR="00B075B7" w:rsidRPr="00A3190F" w:rsidRDefault="00B075B7" w:rsidP="00B075B7">
      <w:pPr>
        <w:jc w:val="both"/>
        <w:rPr>
          <w:rFonts w:cs="Arial"/>
          <w:szCs w:val="22"/>
        </w:rPr>
      </w:pPr>
    </w:p>
    <w:p w14:paraId="07F57FAD" w14:textId="77777777" w:rsidR="00B075B7" w:rsidRPr="00A3190F" w:rsidRDefault="00B075B7" w:rsidP="00B075B7">
      <w:pPr>
        <w:spacing w:after="120"/>
        <w:jc w:val="both"/>
        <w:rPr>
          <w:rFonts w:cs="Arial"/>
          <w:b/>
          <w:bCs/>
          <w:szCs w:val="22"/>
          <w:u w:val="single"/>
        </w:rPr>
      </w:pPr>
    </w:p>
    <w:p w14:paraId="702FB1DD" w14:textId="77777777" w:rsidR="00B075B7" w:rsidRPr="00A3190F" w:rsidRDefault="00B075B7" w:rsidP="00B075B7">
      <w:pPr>
        <w:spacing w:after="120"/>
        <w:jc w:val="both"/>
        <w:rPr>
          <w:rFonts w:cs="Arial"/>
          <w:szCs w:val="22"/>
        </w:rPr>
      </w:pPr>
      <w:r w:rsidRPr="00A3190F">
        <w:rPr>
          <w:rFonts w:cs="Arial"/>
          <w:b/>
          <w:bCs/>
          <w:szCs w:val="22"/>
          <w:u w:val="single"/>
        </w:rPr>
        <w:t>Article 12</w:t>
      </w:r>
      <w:r w:rsidRPr="00A3190F">
        <w:rPr>
          <w:rFonts w:cs="Arial"/>
          <w:szCs w:val="22"/>
        </w:rPr>
        <w:t xml:space="preserve"> : </w:t>
      </w:r>
    </w:p>
    <w:p w14:paraId="70C756F4" w14:textId="77777777" w:rsidR="00B075B7" w:rsidRPr="00A3190F" w:rsidRDefault="00B075B7" w:rsidP="00B075B7">
      <w:pPr>
        <w:jc w:val="both"/>
        <w:rPr>
          <w:rFonts w:cs="Arial"/>
          <w:szCs w:val="22"/>
        </w:rPr>
      </w:pPr>
      <w:r w:rsidRPr="00A3190F">
        <w:rPr>
          <w:rFonts w:cs="Arial"/>
          <w:szCs w:val="22"/>
        </w:rPr>
        <w:t xml:space="preserve">Conformément aux dispositions du Code de justice administrative, le tribunal administratif de Grenoble peut être saisi par voie de recours dans un délai de deux mois à compter de la publication de la présente délibération. </w:t>
      </w:r>
    </w:p>
    <w:p w14:paraId="2A5FCF98" w14:textId="77777777" w:rsidR="00B075B7" w:rsidRPr="00A3190F" w:rsidRDefault="00B075B7" w:rsidP="00B075B7">
      <w:pPr>
        <w:jc w:val="both"/>
        <w:rPr>
          <w:rFonts w:cs="Arial"/>
          <w:szCs w:val="22"/>
        </w:rPr>
      </w:pPr>
      <w:r w:rsidRPr="00A3190F">
        <w:rPr>
          <w:rFonts w:cs="Arial"/>
          <w:szCs w:val="22"/>
        </w:rPr>
        <w:t xml:space="preserve">Dans ce même délai, un recours gracieux peut être déposé devant l’autorité territoriale, cette démarche suspendant le délai de recours contentieux. </w:t>
      </w:r>
    </w:p>
    <w:p w14:paraId="38ABC4EC" w14:textId="56FD908D" w:rsidR="00B075B7" w:rsidRPr="00A3190F" w:rsidRDefault="00B075B7" w:rsidP="00B075B7">
      <w:pPr>
        <w:rPr>
          <w:rFonts w:cs="Arial"/>
          <w:szCs w:val="22"/>
        </w:rPr>
      </w:pPr>
    </w:p>
    <w:sectPr w:rsidR="00B075B7" w:rsidRPr="00A31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673"/>
    <w:multiLevelType w:val="hybridMultilevel"/>
    <w:tmpl w:val="B42ED2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623144B0"/>
    <w:multiLevelType w:val="hybridMultilevel"/>
    <w:tmpl w:val="51C8CC70"/>
    <w:lvl w:ilvl="0" w:tplc="B27CF4E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4006E58"/>
    <w:multiLevelType w:val="hybridMultilevel"/>
    <w:tmpl w:val="DCEA79D8"/>
    <w:lvl w:ilvl="0" w:tplc="41363A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8302707">
    <w:abstractNumId w:val="2"/>
  </w:num>
  <w:num w:numId="2" w16cid:durableId="1319261781">
    <w:abstractNumId w:val="1"/>
  </w:num>
  <w:num w:numId="3" w16cid:durableId="203156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B7"/>
    <w:rsid w:val="008479D4"/>
    <w:rsid w:val="009D7B87"/>
    <w:rsid w:val="00B075B7"/>
    <w:rsid w:val="00C04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C250"/>
  <w15:chartTrackingRefBased/>
  <w15:docId w15:val="{FF4943B2-DAFC-433D-8127-CB56E41A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B7"/>
    <w:pPr>
      <w:spacing w:after="0" w:line="240" w:lineRule="auto"/>
    </w:pPr>
    <w:rPr>
      <w:rFonts w:ascii="Arial" w:eastAsia="Times New Roman" w:hAnsi="Arial" w:cs="Times New Roman"/>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75B7"/>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2520</Words>
  <Characters>7359</Characters>
  <Application>Microsoft Office Word</Application>
  <DocSecurity>0</DocSecurity>
  <Lines>1226</Lines>
  <Paragraphs>1097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 Déborah</dc:creator>
  <cp:keywords/>
  <dc:description/>
  <cp:lastModifiedBy>BASSET Déborah</cp:lastModifiedBy>
  <cp:revision>1</cp:revision>
  <dcterms:created xsi:type="dcterms:W3CDTF">2023-12-05T14:19:00Z</dcterms:created>
  <dcterms:modified xsi:type="dcterms:W3CDTF">2023-12-05T14:21:00Z</dcterms:modified>
</cp:coreProperties>
</file>